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96"/>
          <w:szCs w:val="96"/>
          <w:highlight w:val="none"/>
          <w:lang w:eastAsia="zh-CN"/>
        </w:rPr>
        <w:t>福建社区矫正监管指挥平台运维服务</w:t>
      </w:r>
      <w:r>
        <w:rPr>
          <w:rFonts w:hint="eastAsia" w:ascii="宋体" w:hAnsi="宋体" w:cs="宋体"/>
          <w:b/>
          <w:color w:val="auto"/>
          <w:sz w:val="96"/>
          <w:szCs w:val="96"/>
          <w:highlight w:val="none"/>
          <w:lang w:val="en-US" w:eastAsia="zh-CN"/>
        </w:rPr>
        <w:t>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1"/>
        <w:spacing w:line="0" w:lineRule="atLeast"/>
        <w:rPr>
          <w:rFonts w:hAnsi="宋体"/>
          <w:b/>
          <w:color w:val="auto"/>
          <w:sz w:val="32"/>
          <w:highlight w:val="none"/>
        </w:rPr>
      </w:pPr>
    </w:p>
    <w:p w14:paraId="6CBF94AB">
      <w:pPr>
        <w:pStyle w:val="11"/>
        <w:spacing w:line="0" w:lineRule="atLeast"/>
        <w:jc w:val="center"/>
        <w:rPr>
          <w:rFonts w:hAnsi="宋体"/>
          <w:b/>
          <w:color w:val="auto"/>
          <w:sz w:val="36"/>
          <w:highlight w:val="none"/>
        </w:rPr>
      </w:pPr>
    </w:p>
    <w:p w14:paraId="0DC222AE">
      <w:pPr>
        <w:pStyle w:val="11"/>
        <w:spacing w:line="0" w:lineRule="atLeast"/>
        <w:jc w:val="both"/>
        <w:rPr>
          <w:rFonts w:hAnsi="宋体"/>
          <w:b/>
          <w:color w:val="auto"/>
          <w:sz w:val="36"/>
          <w:highlight w:val="none"/>
        </w:rPr>
      </w:pPr>
    </w:p>
    <w:p w14:paraId="0DD67B47">
      <w:pPr>
        <w:pStyle w:val="11"/>
        <w:spacing w:line="0" w:lineRule="atLeast"/>
        <w:jc w:val="both"/>
        <w:rPr>
          <w:rFonts w:hAnsi="宋体"/>
          <w:b/>
          <w:color w:val="auto"/>
          <w:sz w:val="36"/>
          <w:highlight w:val="none"/>
        </w:rPr>
      </w:pPr>
    </w:p>
    <w:p w14:paraId="7F3ECCF0">
      <w:pPr>
        <w:pStyle w:val="11"/>
        <w:spacing w:line="0" w:lineRule="atLeast"/>
        <w:jc w:val="both"/>
        <w:rPr>
          <w:rFonts w:hAnsi="宋体"/>
          <w:b/>
          <w:color w:val="auto"/>
          <w:sz w:val="36"/>
          <w:highlight w:val="none"/>
        </w:rPr>
      </w:pPr>
    </w:p>
    <w:p w14:paraId="65572771">
      <w:pPr>
        <w:pStyle w:val="11"/>
        <w:spacing w:line="400" w:lineRule="exact"/>
        <w:rPr>
          <w:rFonts w:hAnsi="宋体"/>
          <w:b/>
          <w:color w:val="auto"/>
          <w:sz w:val="36"/>
          <w:highlight w:val="none"/>
        </w:rPr>
      </w:pPr>
    </w:p>
    <w:p w14:paraId="31591C01">
      <w:pPr>
        <w:pStyle w:val="11"/>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JJZB-WJ-2025001</w:t>
      </w:r>
    </w:p>
    <w:p w14:paraId="6385ECEA">
      <w:pPr>
        <w:pStyle w:val="11"/>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福建社区矫正监管指挥平台运维服务</w:t>
      </w:r>
      <w:r>
        <w:rPr>
          <w:rFonts w:hint="eastAsia" w:hAnsi="宋体"/>
          <w:b/>
          <w:color w:val="auto"/>
          <w:sz w:val="32"/>
          <w:szCs w:val="32"/>
          <w:highlight w:val="none"/>
          <w:lang w:val="en-US" w:eastAsia="zh-CN"/>
        </w:rPr>
        <w:t>项目</w:t>
      </w:r>
    </w:p>
    <w:p w14:paraId="4D39A686">
      <w:pPr>
        <w:pStyle w:val="11"/>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6"/>
        <w:jc w:val="both"/>
        <w:rPr>
          <w:rFonts w:hint="default"/>
          <w:color w:val="auto"/>
          <w:sz w:val="48"/>
          <w:highlight w:val="none"/>
        </w:rPr>
      </w:pPr>
    </w:p>
    <w:p w14:paraId="6280ACD9">
      <w:pPr>
        <w:rPr>
          <w:rFonts w:hint="default"/>
        </w:rPr>
      </w:pPr>
    </w:p>
    <w:p w14:paraId="0D6CB01F">
      <w:pPr>
        <w:rPr>
          <w:rFonts w:hint="default"/>
        </w:rPr>
      </w:pPr>
    </w:p>
    <w:p w14:paraId="1D831961">
      <w:pPr>
        <w:pStyle w:val="11"/>
        <w:rPr>
          <w:rFonts w:hint="default"/>
        </w:rPr>
      </w:pPr>
    </w:p>
    <w:p w14:paraId="068EB945">
      <w:pPr>
        <w:pStyle w:val="11"/>
        <w:rPr>
          <w:rFonts w:hint="default"/>
        </w:rPr>
      </w:pPr>
    </w:p>
    <w:p w14:paraId="27374161">
      <w:pPr>
        <w:pStyle w:val="11"/>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三</w:t>
      </w:r>
      <w:r>
        <w:rPr>
          <w:rFonts w:hint="eastAsia" w:ascii="宋体" w:hAnsi="宋体"/>
          <w:b/>
          <w:color w:val="auto"/>
          <w:sz w:val="32"/>
          <w:szCs w:val="32"/>
          <w:highlight w:val="none"/>
        </w:rPr>
        <w:t>月</w:t>
      </w:r>
    </w:p>
    <w:p w14:paraId="630F192B">
      <w:pPr>
        <w:pStyle w:val="3"/>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福建社区矫正监管指挥平台运维服务</w:t>
      </w:r>
      <w:r>
        <w:rPr>
          <w:rFonts w:hint="eastAsia" w:ascii="宋体" w:hAnsi="宋体" w:cs="宋体"/>
          <w:b/>
          <w:bCs/>
          <w:color w:val="auto"/>
          <w:kern w:val="0"/>
          <w:sz w:val="24"/>
          <w:highlight w:val="none"/>
          <w:u w:val="single"/>
          <w:lang w:val="en-US" w:eastAsia="zh-CN"/>
        </w:rPr>
        <w:t>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JJZB-WJ-2025001</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福建社区矫正监管指挥平台运维服务</w:t>
      </w:r>
      <w:r>
        <w:rPr>
          <w:rFonts w:hint="eastAsia" w:ascii="宋体" w:hAnsi="宋体" w:cs="宋体"/>
          <w:b/>
          <w:bCs/>
          <w:color w:val="auto"/>
          <w:kern w:val="0"/>
          <w:sz w:val="24"/>
          <w:highlight w:val="none"/>
          <w:u w:val="single"/>
          <w:lang w:val="en-US" w:eastAsia="zh-CN"/>
        </w:rPr>
        <w:t>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03</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20</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03</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24</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03</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03</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 xml:space="preserve">：高先生 </w:t>
      </w:r>
      <w:r>
        <w:rPr>
          <w:rFonts w:hint="eastAsia" w:ascii="宋体" w:hAnsi="宋体" w:eastAsia="宋体" w:cs="宋体"/>
          <w:color w:val="auto"/>
          <w:sz w:val="24"/>
          <w:szCs w:val="24"/>
          <w:highlight w:val="none"/>
          <w:lang w:val="en-US" w:eastAsia="zh-CN"/>
        </w:rPr>
        <w:t xml:space="preserve"> 0591-83770240</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5"/>
        <w:keepNext w:val="0"/>
        <w:keepLines w:val="0"/>
        <w:pageBreakBefore w:val="0"/>
        <w:kinsoku/>
        <w:overflowPunct/>
        <w:topLinePunct w:val="0"/>
        <w:autoSpaceDE/>
        <w:autoSpaceDN/>
        <w:bidi w:val="0"/>
        <w:adjustRightInd/>
        <w:snapToGrid/>
        <w:spacing w:beforeAutospacing="0" w:afterAutospacing="0" w:line="490" w:lineRule="exact"/>
        <w:ind w:firstLine="480" w:firstLineChars="200"/>
        <w:textAlignment w:val="auto"/>
        <w:rPr>
          <w:rFonts w:hint="default" w:ascii="宋体" w:hAnsi="宋体" w:eastAsia="宋体" w:cs="宋体"/>
          <w:b w:val="0"/>
          <w:color w:val="auto"/>
          <w:kern w:val="2"/>
          <w:sz w:val="24"/>
          <w:szCs w:val="24"/>
          <w:highlight w:val="none"/>
          <w:lang w:val="en-US"/>
        </w:rPr>
      </w:pPr>
      <w:r>
        <w:rPr>
          <w:rFonts w:hint="eastAsia" w:cs="宋体"/>
          <w:b w:val="0"/>
          <w:color w:val="auto"/>
          <w:kern w:val="2"/>
          <w:sz w:val="24"/>
          <w:szCs w:val="24"/>
          <w:highlight w:val="none"/>
          <w:lang w:val="en-US" w:eastAsia="zh-CN"/>
        </w:rPr>
        <w:t>福建省司法厅，网址：http://sft.fujian.gov.cn/；</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28"/>
          <w:rFonts w:hint="eastAsia" w:ascii="Times New Roman" w:hAnsi="Times New Roman" w:cs="Times New Roman"/>
          <w:b/>
          <w:bCs/>
          <w:color w:val="auto"/>
          <w:sz w:val="24"/>
          <w:highlight w:val="none"/>
        </w:rPr>
        <w:t>，</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28"/>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hint="eastAsia" w:ascii="宋体" w:hAnsi="宋体"/>
          <w:b/>
          <w:bCs/>
          <w:color w:val="auto"/>
          <w:kern w:val="0"/>
          <w:sz w:val="24"/>
          <w:highlight w:val="none"/>
        </w:rPr>
        <w:t>供应商</w:t>
      </w:r>
      <w:r>
        <w:rPr>
          <w:rStyle w:val="28"/>
          <w:rFonts w:ascii="宋体" w:hAnsi="宋体"/>
          <w:b/>
          <w:bCs/>
          <w:color w:val="auto"/>
          <w:kern w:val="0"/>
          <w:sz w:val="24"/>
          <w:highlight w:val="none"/>
        </w:rPr>
        <w:t>首次提交的报价</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须</w:t>
      </w:r>
      <w:r>
        <w:rPr>
          <w:rStyle w:val="28"/>
          <w:rFonts w:hint="eastAsia" w:ascii="宋体" w:hAnsi="宋体"/>
          <w:b/>
          <w:bCs/>
          <w:color w:val="auto"/>
          <w:kern w:val="0"/>
          <w:sz w:val="24"/>
          <w:highlight w:val="none"/>
        </w:rPr>
        <w:t>低于</w:t>
      </w:r>
      <w:r>
        <w:rPr>
          <w:rStyle w:val="28"/>
          <w:rFonts w:ascii="宋体" w:hAnsi="宋体"/>
          <w:b/>
          <w:bCs/>
          <w:color w:val="auto"/>
          <w:kern w:val="0"/>
          <w:sz w:val="24"/>
          <w:highlight w:val="none"/>
        </w:rPr>
        <w:t>本项目</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最高限价</w:t>
      </w:r>
      <w:r>
        <w:rPr>
          <w:rStyle w:val="28"/>
          <w:rFonts w:hint="eastAsia" w:ascii="宋体" w:hAnsi="宋体"/>
          <w:b/>
          <w:bCs/>
          <w:color w:val="auto"/>
          <w:kern w:val="0"/>
          <w:sz w:val="24"/>
          <w:highlight w:val="none"/>
        </w:rPr>
        <w:t>的</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以上（不含</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w:t>
      </w:r>
      <w:r>
        <w:rPr>
          <w:rStyle w:val="28"/>
          <w:rFonts w:ascii="宋体" w:hAnsi="宋体"/>
          <w:b/>
          <w:bCs/>
          <w:color w:val="auto"/>
          <w:kern w:val="0"/>
          <w:sz w:val="24"/>
          <w:highlight w:val="none"/>
        </w:rPr>
        <w:t>，否则</w:t>
      </w:r>
      <w:r>
        <w:rPr>
          <w:rStyle w:val="28"/>
          <w:rFonts w:ascii="宋体" w:hAnsi="宋体" w:cs="宋体"/>
          <w:b/>
          <w:bCs/>
          <w:color w:val="auto"/>
          <w:kern w:val="0"/>
          <w:sz w:val="24"/>
          <w:highlight w:val="none"/>
        </w:rPr>
        <w:t>视为无效报价</w:t>
      </w:r>
      <w:r>
        <w:rPr>
          <w:rStyle w:val="28"/>
          <w:rFonts w:ascii="宋体" w:hAnsi="宋体"/>
          <w:b/>
          <w:bCs/>
          <w:color w:val="auto"/>
          <w:kern w:val="0"/>
          <w:sz w:val="24"/>
          <w:highlight w:val="none"/>
        </w:rPr>
        <w:t>。</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1"/>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bookmarkStart w:id="8" w:name="_GoBack"/>
      <w:bookmarkEnd w:id="8"/>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6"/>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9317661"/>
      <w:bookmarkStart w:id="2" w:name="_Toc358016816"/>
      <w:bookmarkStart w:id="3" w:name="_Toc347060296"/>
      <w:bookmarkStart w:id="4" w:name="_Toc327948617"/>
      <w:bookmarkStart w:id="5" w:name="_Toc330567034"/>
      <w:bookmarkStart w:id="6" w:name="_Toc346300367"/>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922"/>
        <w:gridCol w:w="2430"/>
        <w:gridCol w:w="1065"/>
        <w:gridCol w:w="1367"/>
        <w:gridCol w:w="1665"/>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922"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430"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922"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430"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福建社区矫正监管指挥平台运维服务</w:t>
            </w:r>
            <w:r>
              <w:rPr>
                <w:rFonts w:hint="eastAsia" w:ascii="宋体" w:hAnsi="宋体" w:cs="新宋体"/>
                <w:b w:val="0"/>
                <w:bCs w:val="0"/>
                <w:color w:val="auto"/>
                <w:kern w:val="0"/>
                <w:sz w:val="24"/>
                <w:szCs w:val="24"/>
                <w:highlight w:val="none"/>
                <w:lang w:val="en-US" w:eastAsia="zh-CN"/>
              </w:rPr>
              <w:t>项目</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1367"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1年</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86670.00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w:t>
      </w:r>
      <w:r>
        <w:rPr>
          <w:rFonts w:hint="eastAsia" w:ascii="宋体" w:hAnsi="宋体" w:cs="宋体"/>
          <w:color w:val="auto"/>
          <w:kern w:val="0"/>
          <w:sz w:val="24"/>
          <w:szCs w:val="24"/>
          <w:highlight w:val="none"/>
          <w:lang w:val="en-US" w:eastAsia="zh-CN" w:bidi="ar-SA"/>
        </w:rPr>
        <w:t>系统运维、平台软件维护、系统优化升级</w:t>
      </w:r>
      <w:r>
        <w:rPr>
          <w:rFonts w:hint="eastAsia" w:ascii="宋体" w:hAnsi="宋体" w:eastAsia="宋体" w:cs="宋体"/>
          <w:color w:val="auto"/>
          <w:kern w:val="0"/>
          <w:sz w:val="24"/>
          <w:szCs w:val="24"/>
          <w:highlight w:val="none"/>
          <w:lang w:val="en-US" w:eastAsia="zh-CN" w:bidi="ar-SA"/>
        </w:rPr>
        <w:t>等，以及所有根据合同或其它原因应由供应商支付的税金和其它应缴的费用，以及可合理推断的责任和义务。还要考虑到合同中可能出现的索赔和变更。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73709285">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（一）运维服务要求</w:t>
      </w:r>
    </w:p>
    <w:p w14:paraId="68C8668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运维服务要求至少1名软件工程师负责驻厅社矫局提供现场运维服务，</w:t>
      </w:r>
      <w:r>
        <w:rPr>
          <w:rFonts w:hint="eastAsia" w:ascii="宋体" w:hAnsi="宋体" w:cs="宋体"/>
          <w:sz w:val="24"/>
          <w:szCs w:val="24"/>
          <w:lang w:val="en-US" w:eastAsia="zh-CN"/>
        </w:rPr>
        <w:t>至少</w:t>
      </w:r>
      <w:r>
        <w:rPr>
          <w:rFonts w:hint="eastAsia" w:ascii="宋体" w:hAnsi="宋体" w:eastAsia="宋体" w:cs="宋体"/>
          <w:sz w:val="24"/>
          <w:szCs w:val="24"/>
          <w:lang w:val="en-US" w:eastAsia="zh-CN"/>
        </w:rPr>
        <w:t>1名软件工程师提供远程后台保障，</w:t>
      </w:r>
      <w:r>
        <w:rPr>
          <w:rFonts w:hint="eastAsia" w:ascii="宋体" w:hAnsi="宋体" w:cs="宋体"/>
          <w:sz w:val="24"/>
          <w:szCs w:val="24"/>
          <w:lang w:val="en-US" w:eastAsia="zh-CN"/>
        </w:rPr>
        <w:t>至少</w:t>
      </w:r>
      <w:r>
        <w:rPr>
          <w:rFonts w:hint="eastAsia" w:ascii="宋体" w:hAnsi="宋体" w:eastAsia="宋体" w:cs="宋体"/>
          <w:sz w:val="24"/>
          <w:szCs w:val="24"/>
          <w:lang w:val="en-US" w:eastAsia="zh-CN"/>
        </w:rPr>
        <w:t>1名数据工程师提供远程数据管理、备份、维护等服务。</w:t>
      </w:r>
    </w:p>
    <w:p w14:paraId="5C7F006F">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运维服务内容</w:t>
      </w:r>
    </w:p>
    <w:p w14:paraId="1F7E890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件系统（含平台主机系统设备、网络及安全设备）运维、平台软件使用运维、平台安全系统维护、数据库系统运维、数据迁移及备份服务、平台基础业务功能维护和优化升级、智能监管模块的运维和优化、移动端APP日常应用和优化升级运维等服务。</w:t>
      </w:r>
    </w:p>
    <w:p w14:paraId="2E6EA37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1、用户日常使用运维</w:t>
      </w:r>
    </w:p>
    <w:p w14:paraId="120419C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（1）用户支持：为用户提供第一线的帮助和指导，解答他们关于产品或服务的疑问，解决他们在使用过程中遇到的问题。</w:t>
      </w:r>
    </w:p>
    <w:p w14:paraId="3CB077B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（2）故障排除：帮助用户诊断和解决技术问题，包括软件错误、配置问题、网络连接问题等。</w:t>
      </w:r>
    </w:p>
    <w:p w14:paraId="354BF18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（3）用户培训：提供必要的培训，帮助用户熟悉产品或服务的功能，提高他们的使用效率。</w:t>
      </w:r>
    </w:p>
    <w:p w14:paraId="0BDCA11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（4）知识管理：创建和维护知识库，包括常见问题解答（FAQ）、操作手册、视频教程等，以便用户可以自助解决问题。</w:t>
      </w:r>
    </w:p>
    <w:p w14:paraId="05266D6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（5）用户沟通：通过邮件、电话、在线聊天、社交媒体等方式与用户沟通，了解他们的需求和反馈。</w:t>
      </w:r>
    </w:p>
    <w:p w14:paraId="3A47DD8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（6）用户反馈收集：收集和分析用户反馈，为产品改进和服务优化提供依据。</w:t>
      </w:r>
    </w:p>
    <w:p w14:paraId="4A1A8C6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（7）服务级别管理：确保用户支持服务达到既定的服务级别协议（SLA）标准。</w:t>
      </w:r>
    </w:p>
    <w:p w14:paraId="03E6EED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（8）用户账户管理：帮助用户管理他们的账户，包括密码重置、账户权限设置等。</w:t>
      </w:r>
    </w:p>
    <w:p w14:paraId="3C8D4D6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（9）用户行为分析：分析用户的使用习惯和行为，以优化产品和服务。</w:t>
      </w:r>
    </w:p>
    <w:p w14:paraId="33DD3E1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（10）产品发布支持：在新产品或新功能发布时，为用户提供必要的支持，确保他们能够顺利过渡到新版本</w:t>
      </w:r>
    </w:p>
    <w:p w14:paraId="4863B3F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（11）用户体验监控：监控产品的用户体验，确保产品或服务的性能和可用性满足用户需求。</w:t>
      </w:r>
    </w:p>
    <w:p w14:paraId="4C755CB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（12）安全性提醒：教育用户关于账户安全和数据保护的最佳实践，提醒用户注意潜在的安全风险。</w:t>
      </w:r>
    </w:p>
    <w:p w14:paraId="125BF82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2、安全系统运维</w:t>
      </w:r>
    </w:p>
    <w:p w14:paraId="0F95667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专注于保护信息系统免受未经授权的访问、攻击、破坏或其他形式的危害。安全运维人员负责监控安全事件、响应安全威胁、实施安全策略和程序。</w:t>
      </w:r>
    </w:p>
    <w:p w14:paraId="2844827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主机系统运维</w:t>
      </w:r>
    </w:p>
    <w:p w14:paraId="54E8D88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负责确保计算机系统的正常运行，包括硬件、操作系统、网络和服务的管理。系统管理员负责配置、优化和维护系统，确保高可用性和性能。</w:t>
      </w:r>
    </w:p>
    <w:p w14:paraId="2A954CF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数据库系统运维</w:t>
      </w:r>
    </w:p>
    <w:p w14:paraId="64EB8E8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数据库安装和配置：负责数据库软件的安装、配置和升级。</w:t>
      </w:r>
    </w:p>
    <w:p w14:paraId="3DCAA6B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性能监控和优化：监控数据库性能，识别和解决性能瓶颈，优化查询和索引，以提高系统响应速度。</w:t>
      </w:r>
    </w:p>
    <w:p w14:paraId="38D7911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备份和恢复：制定和执行数据库备份策略，确保数据的安全性和可恢复性，并在需要时进行数据恢复。</w:t>
      </w:r>
    </w:p>
    <w:p w14:paraId="236AF4D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安全性管理：实施安全措施，如设置用户权限、加密敏感数据、监控未授权访问尝试，以保护数据库免受安全威胁。</w:t>
      </w:r>
    </w:p>
    <w:p w14:paraId="44D5FAB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数据迁移和整合：管理和执行数据库迁移任务，包括数据迁移、数据库升级和平台迁移。</w:t>
      </w:r>
    </w:p>
    <w:p w14:paraId="4FA3738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6</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故障排除：诊断和解决数据库相关的问题，包括数据损坏、连接问题、并发冲突等。</w:t>
      </w:r>
    </w:p>
    <w:p w14:paraId="1B8C0E8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7</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容量规划：监控数据库的增长和使用模式，规划未来的存储需求和扩展策略。</w:t>
      </w:r>
    </w:p>
    <w:p w14:paraId="4AF3F45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8</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数据质量管理：确保数据的准确性和一致性，清理重复数据，维护数据完整性。</w:t>
      </w:r>
    </w:p>
    <w:p w14:paraId="0D6ACFD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9</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数据库设计和建：参与数据库设计和建模，确保数据库结构能够满足业务需求。</w:t>
      </w:r>
    </w:p>
    <w:p w14:paraId="3CF26D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10</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文档和维护：维护数据库文档，记录数据库结构、配置、变更历史和操作指南。</w:t>
      </w:r>
    </w:p>
    <w:p w14:paraId="032A857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11</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合规性和审计：确保数据库管理和操作符合相关的法律法规和行业标准。</w:t>
      </w:r>
    </w:p>
    <w:p w14:paraId="7FD6798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数据维护运维</w:t>
      </w:r>
    </w:p>
    <w:p w14:paraId="64448F5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监控数据状态、执行数据备份与恢复、数据清洗和整合、性能优化、维护数据安全、数据迁移、确保合规性以及记录运维活动。</w:t>
      </w:r>
    </w:p>
    <w:p w14:paraId="6DBA20A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6、</w:t>
      </w:r>
      <w:r>
        <w:rPr>
          <w:rFonts w:hint="eastAsia" w:ascii="宋体" w:hAnsi="宋体" w:eastAsia="宋体" w:cs="宋体"/>
          <w:b w:val="0"/>
          <w:bCs w:val="0"/>
          <w:sz w:val="24"/>
          <w:szCs w:val="24"/>
        </w:rPr>
        <w:t>基础业务功能优化运维</w:t>
      </w:r>
    </w:p>
    <w:p w14:paraId="781CBC4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评估基础业务使用情况，定期、定点收集用户反馈问题，及时合理采取优化策略，增加改进方式，提出优化方法，满足客户使用需要。</w:t>
      </w:r>
    </w:p>
    <w:p w14:paraId="04FBA5B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7、</w:t>
      </w:r>
      <w:r>
        <w:rPr>
          <w:rFonts w:hint="eastAsia" w:ascii="宋体" w:hAnsi="宋体" w:eastAsia="宋体" w:cs="宋体"/>
          <w:b w:val="0"/>
          <w:bCs w:val="0"/>
          <w:sz w:val="24"/>
          <w:szCs w:val="24"/>
        </w:rPr>
        <w:t>其他运维服务</w:t>
      </w:r>
    </w:p>
    <w:p w14:paraId="4F723A1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包括</w:t>
      </w:r>
      <w:r>
        <w:rPr>
          <w:rFonts w:hint="eastAsia" w:ascii="宋体" w:hAnsi="宋体" w:eastAsia="宋体" w:cs="宋体"/>
          <w:b w:val="0"/>
          <w:bCs w:val="0"/>
          <w:sz w:val="24"/>
          <w:szCs w:val="24"/>
          <w:lang w:eastAsia="zh-CN"/>
        </w:rPr>
        <w:t>但不限于</w:t>
      </w:r>
      <w:r>
        <w:rPr>
          <w:rFonts w:hint="eastAsia" w:ascii="宋体" w:hAnsi="宋体" w:eastAsia="宋体" w:cs="宋体"/>
          <w:b w:val="0"/>
          <w:bCs w:val="0"/>
          <w:sz w:val="24"/>
          <w:szCs w:val="24"/>
        </w:rPr>
        <w:t>基础设施管理、应用服务管理、配置管理、CI/CD、灾难恢复、监控告警、日志分析、容量规划、安全性运维、云服务和虚拟化、用户支持、数据中心运维、移动设备管理、项目管理和知识管理。</w:t>
      </w:r>
    </w:p>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3"/>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3"/>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cs="宋体"/>
          <w:b w:val="0"/>
          <w:bCs w:val="0"/>
          <w:color w:val="auto"/>
          <w:kern w:val="0"/>
          <w:sz w:val="24"/>
          <w:szCs w:val="24"/>
          <w:highlight w:val="none"/>
          <w:lang w:val="en-US" w:eastAsia="zh-CN"/>
        </w:rPr>
        <w:t>1年。</w:t>
      </w:r>
    </w:p>
    <w:p w14:paraId="56FD805B">
      <w:pPr>
        <w:pStyle w:val="3"/>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color w:val="auto"/>
          <w:kern w:val="0"/>
          <w:sz w:val="24"/>
          <w:szCs w:val="24"/>
          <w:highlight w:val="none"/>
          <w:lang w:eastAsia="zh-CN"/>
        </w:rPr>
        <w:t>运维期满经采购人验收合格后</w:t>
      </w:r>
      <w:r>
        <w:rPr>
          <w:rFonts w:hint="eastAsia" w:ascii="宋体" w:hAnsi="宋体" w:eastAsia="宋体" w:cs="宋体"/>
          <w:b w:val="0"/>
          <w:bCs/>
          <w:color w:val="auto"/>
          <w:kern w:val="0"/>
          <w:sz w:val="24"/>
          <w:szCs w:val="24"/>
          <w:highlight w:val="none"/>
        </w:rPr>
        <w:t>，采购人在收到</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color w:val="auto"/>
          <w:kern w:val="0"/>
          <w:sz w:val="24"/>
          <w:szCs w:val="24"/>
          <w:highlight w:val="none"/>
        </w:rPr>
        <w:t>提</w:t>
      </w:r>
      <w:r>
        <w:rPr>
          <w:rFonts w:hint="eastAsia" w:ascii="宋体" w:hAnsi="宋体" w:cs="宋体"/>
          <w:b w:val="0"/>
          <w:bCs/>
          <w:color w:val="auto"/>
          <w:kern w:val="0"/>
          <w:sz w:val="24"/>
          <w:szCs w:val="24"/>
          <w:highlight w:val="none"/>
          <w:lang w:val="en-US" w:eastAsia="zh-CN"/>
        </w:rPr>
        <w:t>供</w:t>
      </w:r>
      <w:r>
        <w:rPr>
          <w:rFonts w:hint="eastAsia" w:ascii="宋体" w:hAnsi="宋体" w:eastAsia="宋体" w:cs="宋体"/>
          <w:b w:val="0"/>
          <w:bCs/>
          <w:color w:val="auto"/>
          <w:kern w:val="0"/>
          <w:sz w:val="24"/>
          <w:szCs w:val="24"/>
          <w:highlight w:val="none"/>
        </w:rPr>
        <w:t>的付款申请函</w:t>
      </w:r>
      <w:r>
        <w:rPr>
          <w:rFonts w:hint="eastAsia" w:ascii="宋体" w:hAnsi="宋体" w:cs="宋体"/>
          <w:b w:val="0"/>
          <w:bCs/>
          <w:color w:val="auto"/>
          <w:kern w:val="0"/>
          <w:sz w:val="24"/>
          <w:szCs w:val="24"/>
          <w:highlight w:val="none"/>
          <w:lang w:eastAsia="zh-CN"/>
        </w:rPr>
        <w:t>、</w:t>
      </w:r>
      <w:r>
        <w:rPr>
          <w:rFonts w:hint="eastAsia" w:ascii="宋体" w:hAnsi="宋体" w:eastAsia="宋体" w:cs="宋体"/>
          <w:b w:val="0"/>
          <w:bCs/>
          <w:color w:val="auto"/>
          <w:kern w:val="0"/>
          <w:sz w:val="24"/>
          <w:szCs w:val="24"/>
          <w:highlight w:val="none"/>
        </w:rPr>
        <w:t>验收单、等额增值税普通发票等完整报销材料后</w:t>
      </w:r>
      <w:r>
        <w:rPr>
          <w:rFonts w:hint="eastAsia" w:ascii="宋体" w:hAnsi="宋体" w:cs="宋体"/>
          <w:b w:val="0"/>
          <w:bCs/>
          <w:color w:val="auto"/>
          <w:kern w:val="0"/>
          <w:sz w:val="24"/>
          <w:szCs w:val="24"/>
          <w:highlight w:val="none"/>
          <w:lang w:val="en-US" w:eastAsia="zh-CN"/>
        </w:rPr>
        <w:t>10日</w:t>
      </w:r>
      <w:r>
        <w:rPr>
          <w:rFonts w:hint="eastAsia" w:ascii="宋体" w:hAnsi="宋体" w:eastAsia="宋体" w:cs="宋体"/>
          <w:b w:val="0"/>
          <w:bCs/>
          <w:color w:val="auto"/>
          <w:kern w:val="0"/>
          <w:sz w:val="24"/>
          <w:szCs w:val="24"/>
          <w:highlight w:val="none"/>
        </w:rPr>
        <w:t>内向</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color w:val="auto"/>
          <w:kern w:val="0"/>
          <w:sz w:val="24"/>
          <w:szCs w:val="24"/>
          <w:highlight w:val="none"/>
        </w:rPr>
        <w:t>一次性支付合同总金额的</w:t>
      </w:r>
      <w:r>
        <w:rPr>
          <w:rFonts w:hint="eastAsia" w:ascii="宋体" w:hAnsi="宋体" w:cs="宋体"/>
          <w:b w:val="0"/>
          <w:bCs/>
          <w:color w:val="auto"/>
          <w:kern w:val="0"/>
          <w:sz w:val="24"/>
          <w:szCs w:val="24"/>
          <w:highlight w:val="none"/>
          <w:lang w:val="en-US" w:eastAsia="zh-CN"/>
        </w:rPr>
        <w:t>100</w:t>
      </w:r>
      <w:r>
        <w:rPr>
          <w:rFonts w:hint="eastAsia" w:ascii="宋体" w:hAnsi="宋体" w:eastAsia="宋体" w:cs="宋体"/>
          <w:b w:val="0"/>
          <w:bCs/>
          <w:color w:val="auto"/>
          <w:kern w:val="0"/>
          <w:sz w:val="24"/>
          <w:szCs w:val="24"/>
          <w:highlight w:val="none"/>
        </w:rPr>
        <w:t>.00%</w:t>
      </w:r>
      <w:r>
        <w:rPr>
          <w:rFonts w:hint="eastAsia" w:ascii="宋体" w:hAnsi="宋体" w:eastAsia="宋体" w:cs="宋体"/>
          <w:b w:val="0"/>
          <w:bCs w:val="0"/>
          <w:color w:val="auto"/>
          <w:kern w:val="0"/>
          <w:sz w:val="24"/>
          <w:szCs w:val="24"/>
          <w:highlight w:val="none"/>
          <w:lang w:val="en-US" w:eastAsia="zh-CN" w:bidi="ar-SA"/>
        </w:rPr>
        <w:t>。</w:t>
      </w:r>
    </w:p>
    <w:p w14:paraId="189291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2"/>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3A7179BC">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8.1因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原因造成采购合同无法按时签订，视为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违约对采购人造成的损失的，需另行支付相应的赔偿，采购人有权单方面解除合同。</w:t>
      </w:r>
    </w:p>
    <w:p w14:paraId="5CD25D4E">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8.2在签订采购合同之后，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要求解除合同的，视为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需支付相应的赔偿，采购人有权单方面解除合同。</w:t>
      </w:r>
    </w:p>
    <w:p w14:paraId="1C7DDF96">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8.3因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原因发生重大质量事故，除依约承担赔偿责任外，还将按有关质量管理办法规定执行。同时，采购人有权保留更换</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应在接到书面通知书起七</w:t>
      </w:r>
      <w:r>
        <w:rPr>
          <w:rFonts w:hint="eastAsia" w:ascii="宋体" w:hAnsi="宋体" w:cs="宋体"/>
          <w:sz w:val="24"/>
          <w:szCs w:val="24"/>
          <w:shd w:val="clear" w:fill="FFFFFF"/>
          <w:lang w:val="en-US" w:eastAsia="zh-CN"/>
        </w:rPr>
        <w:t>日</w:t>
      </w:r>
      <w:r>
        <w:rPr>
          <w:rFonts w:hint="eastAsia" w:ascii="宋体" w:hAnsi="宋体" w:eastAsia="宋体" w:cs="宋体"/>
          <w:sz w:val="24"/>
          <w:szCs w:val="24"/>
          <w:shd w:val="clear" w:fill="FFFFFF"/>
        </w:rPr>
        <w:t>内支付违约金、赔偿金等。</w:t>
      </w:r>
    </w:p>
    <w:p w14:paraId="26E8123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A772DB0">
      <w:pPr>
        <w:widowControl/>
        <w:spacing w:line="360" w:lineRule="auto"/>
        <w:jc w:val="center"/>
        <w:rPr>
          <w:rFonts w:hint="eastAsia" w:ascii="宋体" w:hAnsi="宋体"/>
          <w:b/>
          <w:bCs/>
          <w:color w:val="auto"/>
          <w:sz w:val="36"/>
          <w:szCs w:val="36"/>
          <w:highlight w:val="none"/>
        </w:rPr>
      </w:pPr>
    </w:p>
    <w:p w14:paraId="1D4050AE">
      <w:pPr>
        <w:widowControl/>
        <w:spacing w:line="360" w:lineRule="auto"/>
        <w:jc w:val="center"/>
        <w:rPr>
          <w:rFonts w:hint="eastAsia" w:ascii="宋体" w:hAnsi="宋体"/>
          <w:b/>
          <w:bCs/>
          <w:color w:val="auto"/>
          <w:sz w:val="36"/>
          <w:szCs w:val="36"/>
          <w:highlight w:val="none"/>
        </w:rPr>
      </w:pPr>
    </w:p>
    <w:p w14:paraId="6B68C3AB">
      <w:pPr>
        <w:widowControl/>
        <w:spacing w:line="360" w:lineRule="auto"/>
        <w:jc w:val="center"/>
        <w:rPr>
          <w:rFonts w:hint="eastAsia" w:ascii="宋体" w:hAnsi="宋体"/>
          <w:b/>
          <w:bCs/>
          <w:color w:val="auto"/>
          <w:sz w:val="36"/>
          <w:szCs w:val="36"/>
          <w:highlight w:val="none"/>
        </w:rPr>
      </w:pPr>
    </w:p>
    <w:p w14:paraId="3DC4E658">
      <w:pPr>
        <w:widowControl/>
        <w:spacing w:line="360" w:lineRule="auto"/>
        <w:jc w:val="center"/>
        <w:rPr>
          <w:rFonts w:hint="eastAsia" w:ascii="宋体" w:hAnsi="宋体"/>
          <w:b/>
          <w:bCs/>
          <w:color w:val="auto"/>
          <w:sz w:val="36"/>
          <w:szCs w:val="36"/>
          <w:highlight w:val="none"/>
        </w:rPr>
      </w:pPr>
    </w:p>
    <w:p w14:paraId="362985DD">
      <w:pPr>
        <w:widowControl/>
        <w:spacing w:line="360" w:lineRule="auto"/>
        <w:jc w:val="center"/>
        <w:rPr>
          <w:rFonts w:hint="eastAsia" w:ascii="宋体" w:hAnsi="宋体"/>
          <w:b/>
          <w:bCs/>
          <w:color w:val="auto"/>
          <w:sz w:val="36"/>
          <w:szCs w:val="36"/>
          <w:highlight w:val="none"/>
        </w:rPr>
      </w:pPr>
    </w:p>
    <w:p w14:paraId="35F8F52D">
      <w:pPr>
        <w:widowControl/>
        <w:spacing w:line="360" w:lineRule="auto"/>
        <w:jc w:val="center"/>
        <w:rPr>
          <w:rFonts w:hint="eastAsia" w:ascii="宋体" w:hAnsi="宋体"/>
          <w:b/>
          <w:bCs/>
          <w:color w:val="auto"/>
          <w:sz w:val="36"/>
          <w:szCs w:val="36"/>
          <w:highlight w:val="none"/>
        </w:rPr>
      </w:pPr>
    </w:p>
    <w:p w14:paraId="19D5AB6E">
      <w:pPr>
        <w:widowControl/>
        <w:spacing w:line="360" w:lineRule="auto"/>
        <w:jc w:val="center"/>
        <w:rPr>
          <w:rFonts w:hint="eastAsia" w:ascii="宋体" w:hAnsi="宋体"/>
          <w:b/>
          <w:bCs/>
          <w:color w:val="auto"/>
          <w:sz w:val="36"/>
          <w:szCs w:val="36"/>
          <w:highlight w:val="none"/>
        </w:rPr>
      </w:pPr>
    </w:p>
    <w:p w14:paraId="795B5542">
      <w:pPr>
        <w:widowControl/>
        <w:spacing w:line="360" w:lineRule="auto"/>
        <w:jc w:val="center"/>
        <w:rPr>
          <w:rFonts w:hint="eastAsia" w:ascii="宋体" w:hAnsi="宋体"/>
          <w:b/>
          <w:bCs/>
          <w:color w:val="auto"/>
          <w:sz w:val="36"/>
          <w:szCs w:val="36"/>
          <w:highlight w:val="none"/>
        </w:rPr>
      </w:pPr>
    </w:p>
    <w:p w14:paraId="19030B14">
      <w:pPr>
        <w:widowControl/>
        <w:spacing w:line="360" w:lineRule="auto"/>
        <w:jc w:val="center"/>
        <w:rPr>
          <w:rFonts w:hint="eastAsia" w:ascii="宋体" w:hAnsi="宋体"/>
          <w:b/>
          <w:bCs/>
          <w:color w:val="auto"/>
          <w:sz w:val="36"/>
          <w:szCs w:val="36"/>
          <w:highlight w:val="none"/>
        </w:rPr>
      </w:pPr>
    </w:p>
    <w:p w14:paraId="6F3C0B12">
      <w:pPr>
        <w:widowControl/>
        <w:spacing w:line="360" w:lineRule="auto"/>
        <w:jc w:val="center"/>
        <w:rPr>
          <w:rFonts w:hint="eastAsia" w:ascii="宋体" w:hAnsi="宋体"/>
          <w:b/>
          <w:bCs/>
          <w:color w:val="auto"/>
          <w:sz w:val="36"/>
          <w:szCs w:val="36"/>
          <w:highlight w:val="none"/>
        </w:rPr>
      </w:pPr>
    </w:p>
    <w:p w14:paraId="1BB2AA90">
      <w:pPr>
        <w:widowControl/>
        <w:spacing w:line="360" w:lineRule="auto"/>
        <w:jc w:val="center"/>
        <w:rPr>
          <w:rFonts w:hint="eastAsia" w:ascii="宋体" w:hAnsi="宋体"/>
          <w:b/>
          <w:bCs/>
          <w:color w:val="auto"/>
          <w:sz w:val="36"/>
          <w:szCs w:val="36"/>
          <w:highlight w:val="none"/>
        </w:rPr>
      </w:pPr>
    </w:p>
    <w:p w14:paraId="18E6F685">
      <w:pPr>
        <w:widowControl/>
        <w:spacing w:line="360" w:lineRule="auto"/>
        <w:jc w:val="center"/>
        <w:rPr>
          <w:rFonts w:hint="eastAsia" w:ascii="宋体" w:hAnsi="宋体"/>
          <w:b/>
          <w:bCs/>
          <w:color w:val="auto"/>
          <w:sz w:val="36"/>
          <w:szCs w:val="36"/>
          <w:highlight w:val="none"/>
        </w:rPr>
      </w:pPr>
    </w:p>
    <w:p w14:paraId="59581D1E">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5"/>
        <w:spacing w:line="360" w:lineRule="auto"/>
        <w:rPr>
          <w:color w:val="auto"/>
          <w:highlight w:val="none"/>
        </w:rPr>
      </w:pPr>
    </w:p>
    <w:p w14:paraId="1C9B7D09">
      <w:pPr>
        <w:spacing w:line="360" w:lineRule="auto"/>
        <w:rPr>
          <w:color w:val="auto"/>
          <w:highlight w:val="none"/>
        </w:rPr>
      </w:pPr>
    </w:p>
    <w:p w14:paraId="6800853C">
      <w:pPr>
        <w:pStyle w:val="5"/>
        <w:spacing w:line="360" w:lineRule="auto"/>
        <w:rPr>
          <w:color w:val="auto"/>
          <w:highlight w:val="none"/>
        </w:rPr>
      </w:pPr>
    </w:p>
    <w:p w14:paraId="5A7E61FF">
      <w:pPr>
        <w:spacing w:line="360" w:lineRule="auto"/>
        <w:rPr>
          <w:color w:val="auto"/>
          <w:highlight w:val="none"/>
        </w:rPr>
      </w:pPr>
    </w:p>
    <w:p w14:paraId="41E83152">
      <w:pPr>
        <w:pStyle w:val="6"/>
        <w:spacing w:line="360" w:lineRule="auto"/>
        <w:rPr>
          <w:rFonts w:hint="default"/>
          <w:color w:val="auto"/>
          <w:highlight w:val="none"/>
        </w:rPr>
      </w:pPr>
    </w:p>
    <w:p w14:paraId="55C069FF">
      <w:pPr>
        <w:spacing w:line="360" w:lineRule="auto"/>
        <w:rPr>
          <w:color w:val="auto"/>
          <w:highlight w:val="none"/>
        </w:rPr>
      </w:pPr>
    </w:p>
    <w:p w14:paraId="20368753">
      <w:pPr>
        <w:pStyle w:val="6"/>
        <w:spacing w:line="360" w:lineRule="auto"/>
        <w:rPr>
          <w:rFonts w:hint="default"/>
          <w:color w:val="auto"/>
          <w:highlight w:val="none"/>
        </w:rPr>
      </w:pPr>
    </w:p>
    <w:p w14:paraId="2507E28E">
      <w:pPr>
        <w:spacing w:line="360" w:lineRule="auto"/>
        <w:rPr>
          <w:color w:val="auto"/>
          <w:highlight w:val="none"/>
        </w:rPr>
      </w:pPr>
    </w:p>
    <w:p w14:paraId="68F7C44C">
      <w:pPr>
        <w:pStyle w:val="6"/>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7"/>
        <w:spacing w:line="360" w:lineRule="auto"/>
        <w:rPr>
          <w:color w:val="auto"/>
          <w:highlight w:val="none"/>
        </w:rPr>
      </w:pPr>
    </w:p>
    <w:p w14:paraId="3FC45419">
      <w:pPr>
        <w:pStyle w:val="3"/>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5"/>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6"/>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6"/>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5"/>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2"/>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3"/>
        <w:spacing w:line="360" w:lineRule="auto"/>
        <w:ind w:left="0" w:leftChars="0"/>
        <w:rPr>
          <w:rFonts w:ascii="宋体" w:hAnsi="宋体" w:cs="宋体"/>
          <w:color w:val="auto"/>
          <w:sz w:val="24"/>
          <w:highlight w:val="none"/>
        </w:rPr>
      </w:pPr>
    </w:p>
    <w:p w14:paraId="1119D3D2">
      <w:pPr>
        <w:pStyle w:val="15"/>
        <w:spacing w:line="360" w:lineRule="auto"/>
        <w:rPr>
          <w:rFonts w:ascii="宋体" w:hAnsi="宋体" w:cs="宋体"/>
          <w:color w:val="auto"/>
          <w:sz w:val="24"/>
          <w:highlight w:val="none"/>
        </w:rPr>
      </w:pPr>
    </w:p>
    <w:p w14:paraId="5321318A">
      <w:pPr>
        <w:pStyle w:val="15"/>
        <w:spacing w:line="360" w:lineRule="auto"/>
        <w:rPr>
          <w:rFonts w:ascii="宋体" w:hAnsi="宋体" w:cs="宋体"/>
          <w:color w:val="auto"/>
          <w:sz w:val="24"/>
          <w:highlight w:val="none"/>
        </w:rPr>
      </w:pPr>
    </w:p>
    <w:p w14:paraId="3C82014B">
      <w:pPr>
        <w:pStyle w:val="15"/>
        <w:spacing w:line="360" w:lineRule="auto"/>
        <w:rPr>
          <w:rFonts w:ascii="宋体" w:hAnsi="宋体" w:cs="宋体"/>
          <w:color w:val="auto"/>
          <w:sz w:val="24"/>
          <w:highlight w:val="none"/>
        </w:rPr>
      </w:pPr>
    </w:p>
    <w:p w14:paraId="3726D4AE">
      <w:pPr>
        <w:pStyle w:val="15"/>
        <w:spacing w:line="360" w:lineRule="auto"/>
        <w:rPr>
          <w:rFonts w:ascii="宋体" w:hAnsi="宋体" w:cs="宋体"/>
          <w:color w:val="auto"/>
          <w:sz w:val="24"/>
          <w:highlight w:val="none"/>
        </w:rPr>
      </w:pPr>
    </w:p>
    <w:p w14:paraId="0F16B34A">
      <w:pPr>
        <w:pStyle w:val="15"/>
        <w:spacing w:line="360" w:lineRule="auto"/>
        <w:rPr>
          <w:rFonts w:ascii="宋体" w:hAnsi="宋体" w:cs="宋体"/>
          <w:color w:val="auto"/>
          <w:sz w:val="24"/>
          <w:highlight w:val="none"/>
        </w:rPr>
      </w:pPr>
    </w:p>
    <w:p w14:paraId="73F56BF6">
      <w:pPr>
        <w:pStyle w:val="15"/>
        <w:spacing w:line="360" w:lineRule="auto"/>
        <w:rPr>
          <w:rFonts w:ascii="宋体" w:hAnsi="宋体" w:cs="宋体"/>
          <w:color w:val="auto"/>
          <w:sz w:val="24"/>
          <w:highlight w:val="none"/>
        </w:rPr>
      </w:pPr>
    </w:p>
    <w:p w14:paraId="61FA2276">
      <w:pPr>
        <w:pStyle w:val="15"/>
        <w:spacing w:line="360" w:lineRule="auto"/>
        <w:rPr>
          <w:rFonts w:ascii="宋体" w:hAnsi="宋体" w:cs="宋体"/>
          <w:color w:val="auto"/>
          <w:sz w:val="24"/>
          <w:highlight w:val="none"/>
        </w:rPr>
      </w:pPr>
    </w:p>
    <w:p w14:paraId="468F1230">
      <w:pPr>
        <w:pStyle w:val="15"/>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3"/>
        <w:spacing w:line="360" w:lineRule="auto"/>
        <w:ind w:left="0" w:leftChars="0"/>
        <w:rPr>
          <w:rFonts w:ascii="宋体" w:hAnsi="宋体" w:cs="宋体"/>
          <w:b/>
          <w:bCs/>
          <w:color w:val="auto"/>
          <w:sz w:val="28"/>
          <w:szCs w:val="28"/>
          <w:highlight w:val="none"/>
        </w:rPr>
      </w:pPr>
    </w:p>
    <w:p w14:paraId="2C71186F">
      <w:pPr>
        <w:pStyle w:val="15"/>
        <w:spacing w:line="360" w:lineRule="auto"/>
        <w:rPr>
          <w:rFonts w:ascii="宋体" w:hAnsi="宋体" w:cs="宋体"/>
          <w:b/>
          <w:bCs/>
          <w:color w:val="auto"/>
          <w:sz w:val="28"/>
          <w:szCs w:val="28"/>
          <w:highlight w:val="none"/>
        </w:rPr>
      </w:pPr>
    </w:p>
    <w:p w14:paraId="0776CC2D">
      <w:pPr>
        <w:pStyle w:val="15"/>
        <w:spacing w:line="360" w:lineRule="auto"/>
        <w:rPr>
          <w:rFonts w:ascii="宋体" w:hAnsi="宋体" w:cs="宋体"/>
          <w:b/>
          <w:bCs/>
          <w:color w:val="auto"/>
          <w:sz w:val="28"/>
          <w:szCs w:val="28"/>
          <w:highlight w:val="none"/>
        </w:rPr>
      </w:pPr>
    </w:p>
    <w:p w14:paraId="79EF7A83">
      <w:pPr>
        <w:pStyle w:val="3"/>
        <w:spacing w:line="360" w:lineRule="auto"/>
        <w:ind w:left="0" w:leftChars="0"/>
        <w:rPr>
          <w:rFonts w:ascii="宋体" w:hAnsi="宋体" w:cs="宋体"/>
          <w:b/>
          <w:bCs/>
          <w:color w:val="auto"/>
          <w:sz w:val="28"/>
          <w:szCs w:val="28"/>
          <w:highlight w:val="none"/>
        </w:rPr>
      </w:pPr>
    </w:p>
    <w:p w14:paraId="06B2F9FD">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5"/>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5"/>
        <w:spacing w:line="360" w:lineRule="auto"/>
        <w:rPr>
          <w:rFonts w:ascii="宋体" w:hAnsi="宋体" w:cs="宋体"/>
          <w:b/>
          <w:bCs/>
          <w:color w:val="auto"/>
          <w:sz w:val="28"/>
          <w:szCs w:val="28"/>
          <w:highlight w:val="none"/>
        </w:rPr>
      </w:pPr>
    </w:p>
    <w:p w14:paraId="31F6CFBA">
      <w:pPr>
        <w:pStyle w:val="3"/>
        <w:spacing w:line="360" w:lineRule="auto"/>
        <w:ind w:left="0" w:leftChars="0"/>
        <w:jc w:val="center"/>
        <w:rPr>
          <w:rFonts w:ascii="宋体" w:hAnsi="宋体" w:cs="宋体"/>
          <w:b/>
          <w:bCs/>
          <w:color w:val="auto"/>
          <w:sz w:val="28"/>
          <w:szCs w:val="28"/>
          <w:highlight w:val="none"/>
        </w:rPr>
      </w:pPr>
    </w:p>
    <w:p w14:paraId="37897154">
      <w:pPr>
        <w:pStyle w:val="3"/>
        <w:spacing w:line="360" w:lineRule="auto"/>
        <w:ind w:left="0" w:leftChars="0"/>
        <w:jc w:val="center"/>
        <w:rPr>
          <w:rFonts w:ascii="宋体" w:hAnsi="宋体" w:cs="宋体"/>
          <w:b/>
          <w:bCs/>
          <w:color w:val="auto"/>
          <w:sz w:val="28"/>
          <w:szCs w:val="28"/>
          <w:highlight w:val="none"/>
        </w:rPr>
      </w:pPr>
    </w:p>
    <w:p w14:paraId="19D064AE">
      <w:pPr>
        <w:pStyle w:val="3"/>
        <w:spacing w:line="360" w:lineRule="auto"/>
        <w:ind w:left="0" w:leftChars="0"/>
        <w:jc w:val="center"/>
        <w:rPr>
          <w:rFonts w:ascii="宋体" w:hAnsi="宋体" w:cs="宋体"/>
          <w:b/>
          <w:bCs/>
          <w:color w:val="auto"/>
          <w:sz w:val="28"/>
          <w:szCs w:val="28"/>
          <w:highlight w:val="none"/>
        </w:rPr>
      </w:pPr>
    </w:p>
    <w:p w14:paraId="0ED390FA">
      <w:pPr>
        <w:pStyle w:val="3"/>
        <w:spacing w:line="360" w:lineRule="auto"/>
        <w:ind w:left="0" w:leftChars="0"/>
        <w:jc w:val="center"/>
        <w:rPr>
          <w:rFonts w:ascii="宋体" w:hAnsi="宋体" w:cs="宋体"/>
          <w:b/>
          <w:bCs/>
          <w:color w:val="auto"/>
          <w:sz w:val="28"/>
          <w:szCs w:val="28"/>
          <w:highlight w:val="none"/>
        </w:rPr>
      </w:pPr>
    </w:p>
    <w:p w14:paraId="3C84BE07">
      <w:pPr>
        <w:pStyle w:val="3"/>
        <w:spacing w:line="360" w:lineRule="auto"/>
        <w:ind w:left="0" w:leftChars="0"/>
        <w:jc w:val="center"/>
        <w:rPr>
          <w:rFonts w:ascii="宋体" w:hAnsi="宋体" w:cs="宋体"/>
          <w:b/>
          <w:bCs/>
          <w:color w:val="auto"/>
          <w:sz w:val="28"/>
          <w:szCs w:val="28"/>
          <w:highlight w:val="none"/>
        </w:rPr>
      </w:pPr>
    </w:p>
    <w:p w14:paraId="64E4F662">
      <w:pPr>
        <w:pStyle w:val="3"/>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3"/>
        <w:spacing w:line="360" w:lineRule="auto"/>
        <w:ind w:left="0" w:leftChars="0"/>
        <w:jc w:val="center"/>
        <w:rPr>
          <w:rFonts w:ascii="宋体" w:hAnsi="宋体" w:cs="宋体"/>
          <w:b/>
          <w:bCs/>
          <w:color w:val="auto"/>
          <w:sz w:val="28"/>
          <w:szCs w:val="28"/>
          <w:highlight w:val="none"/>
        </w:rPr>
      </w:pPr>
    </w:p>
    <w:p w14:paraId="7CEA87EF">
      <w:pPr>
        <w:pStyle w:val="3"/>
        <w:spacing w:line="360" w:lineRule="auto"/>
        <w:ind w:left="0" w:leftChars="0"/>
        <w:jc w:val="center"/>
        <w:rPr>
          <w:rFonts w:ascii="宋体" w:hAnsi="宋体" w:cs="宋体"/>
          <w:b/>
          <w:bCs/>
          <w:color w:val="auto"/>
          <w:sz w:val="28"/>
          <w:szCs w:val="28"/>
          <w:highlight w:val="none"/>
        </w:rPr>
      </w:pPr>
    </w:p>
    <w:p w14:paraId="331B2308">
      <w:pPr>
        <w:pStyle w:val="3"/>
        <w:spacing w:line="360" w:lineRule="auto"/>
        <w:ind w:left="0" w:leftChars="0"/>
        <w:jc w:val="center"/>
        <w:rPr>
          <w:rFonts w:ascii="宋体" w:hAnsi="宋体" w:cs="宋体"/>
          <w:b/>
          <w:bCs/>
          <w:color w:val="auto"/>
          <w:sz w:val="28"/>
          <w:szCs w:val="28"/>
          <w:highlight w:val="none"/>
        </w:rPr>
      </w:pPr>
    </w:p>
    <w:p w14:paraId="574F2A9B">
      <w:pPr>
        <w:pStyle w:val="3"/>
        <w:spacing w:line="360" w:lineRule="auto"/>
        <w:ind w:left="0" w:leftChars="0"/>
        <w:jc w:val="center"/>
        <w:rPr>
          <w:rFonts w:ascii="宋体" w:hAnsi="宋体" w:cs="宋体"/>
          <w:b/>
          <w:bCs/>
          <w:color w:val="auto"/>
          <w:sz w:val="28"/>
          <w:szCs w:val="28"/>
          <w:highlight w:val="none"/>
        </w:rPr>
      </w:pPr>
    </w:p>
    <w:p w14:paraId="3DB00B56">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5"/>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5"/>
        <w:spacing w:line="360" w:lineRule="auto"/>
        <w:rPr>
          <w:rFonts w:ascii="宋体" w:hAnsi="宋体" w:cs="宋体"/>
          <w:b/>
          <w:bCs/>
          <w:color w:val="auto"/>
          <w:sz w:val="28"/>
          <w:szCs w:val="28"/>
          <w:highlight w:val="none"/>
        </w:rPr>
      </w:pPr>
    </w:p>
    <w:p w14:paraId="22A9EDD9">
      <w:pPr>
        <w:pStyle w:val="15"/>
        <w:spacing w:line="360" w:lineRule="auto"/>
        <w:rPr>
          <w:color w:val="auto"/>
          <w:highlight w:val="none"/>
        </w:rPr>
      </w:pPr>
    </w:p>
    <w:p w14:paraId="01C7C78E">
      <w:pPr>
        <w:pStyle w:val="15"/>
        <w:spacing w:line="360" w:lineRule="auto"/>
        <w:rPr>
          <w:color w:val="auto"/>
          <w:highlight w:val="none"/>
        </w:rPr>
      </w:pPr>
    </w:p>
    <w:p w14:paraId="35556AE7">
      <w:pPr>
        <w:pStyle w:val="15"/>
        <w:spacing w:line="360" w:lineRule="auto"/>
        <w:rPr>
          <w:color w:val="auto"/>
          <w:highlight w:val="none"/>
        </w:rPr>
      </w:pPr>
    </w:p>
    <w:p w14:paraId="4E1A6E85">
      <w:pPr>
        <w:pStyle w:val="15"/>
        <w:spacing w:line="360" w:lineRule="auto"/>
        <w:rPr>
          <w:color w:val="auto"/>
          <w:highlight w:val="none"/>
        </w:rPr>
      </w:pPr>
    </w:p>
    <w:p w14:paraId="46AD2750">
      <w:pPr>
        <w:pStyle w:val="15"/>
        <w:spacing w:line="360" w:lineRule="auto"/>
        <w:rPr>
          <w:color w:val="auto"/>
          <w:highlight w:val="none"/>
        </w:rPr>
      </w:pPr>
    </w:p>
    <w:p w14:paraId="1913FC5F">
      <w:pPr>
        <w:pStyle w:val="15"/>
        <w:spacing w:line="360" w:lineRule="auto"/>
        <w:rPr>
          <w:color w:val="auto"/>
          <w:highlight w:val="none"/>
        </w:rPr>
      </w:pPr>
    </w:p>
    <w:p w14:paraId="61F60254">
      <w:pPr>
        <w:pStyle w:val="15"/>
        <w:spacing w:line="360" w:lineRule="auto"/>
        <w:rPr>
          <w:color w:val="auto"/>
          <w:highlight w:val="none"/>
        </w:rPr>
      </w:pPr>
    </w:p>
    <w:p w14:paraId="02CCF8EF">
      <w:pPr>
        <w:pStyle w:val="15"/>
        <w:spacing w:line="360" w:lineRule="auto"/>
        <w:rPr>
          <w:color w:val="auto"/>
          <w:highlight w:val="none"/>
        </w:rPr>
      </w:pPr>
    </w:p>
    <w:p w14:paraId="40D9D294">
      <w:pPr>
        <w:pStyle w:val="15"/>
        <w:spacing w:line="360" w:lineRule="auto"/>
        <w:rPr>
          <w:color w:val="auto"/>
          <w:highlight w:val="none"/>
        </w:rPr>
      </w:pPr>
    </w:p>
    <w:p w14:paraId="26CFA76D">
      <w:pPr>
        <w:pStyle w:val="15"/>
        <w:spacing w:line="360" w:lineRule="auto"/>
        <w:rPr>
          <w:color w:val="auto"/>
          <w:highlight w:val="none"/>
        </w:rPr>
      </w:pPr>
    </w:p>
    <w:p w14:paraId="6236DE25">
      <w:pPr>
        <w:pStyle w:val="15"/>
        <w:spacing w:line="360" w:lineRule="auto"/>
        <w:rPr>
          <w:color w:val="auto"/>
          <w:highlight w:val="none"/>
        </w:rPr>
      </w:pPr>
    </w:p>
    <w:p w14:paraId="3DC90531">
      <w:pPr>
        <w:pStyle w:val="15"/>
        <w:spacing w:line="360" w:lineRule="auto"/>
        <w:rPr>
          <w:color w:val="auto"/>
          <w:highlight w:val="none"/>
        </w:rPr>
      </w:pPr>
    </w:p>
    <w:p w14:paraId="6810E63F">
      <w:pPr>
        <w:pStyle w:val="15"/>
        <w:spacing w:line="360" w:lineRule="auto"/>
        <w:rPr>
          <w:color w:val="auto"/>
          <w:highlight w:val="none"/>
        </w:rPr>
      </w:pPr>
    </w:p>
    <w:p w14:paraId="2D859747">
      <w:pPr>
        <w:pStyle w:val="15"/>
        <w:spacing w:line="360" w:lineRule="auto"/>
        <w:rPr>
          <w:color w:val="auto"/>
          <w:highlight w:val="none"/>
        </w:rPr>
      </w:pPr>
    </w:p>
    <w:p w14:paraId="1A9B0A73">
      <w:pPr>
        <w:pStyle w:val="15"/>
        <w:spacing w:line="360" w:lineRule="auto"/>
        <w:rPr>
          <w:color w:val="auto"/>
          <w:highlight w:val="none"/>
        </w:rPr>
      </w:pPr>
    </w:p>
    <w:p w14:paraId="09BAEE96">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7"/>
        <w:spacing w:line="360" w:lineRule="auto"/>
        <w:rPr>
          <w:rFonts w:ascii="楷体_GB2312" w:eastAsia="楷体_GB2312"/>
          <w:b/>
          <w:color w:val="auto"/>
          <w:sz w:val="40"/>
          <w:szCs w:val="40"/>
          <w:highlight w:val="none"/>
        </w:rPr>
      </w:pPr>
    </w:p>
    <w:p w14:paraId="5AB94BE7">
      <w:pPr>
        <w:pStyle w:val="3"/>
        <w:spacing w:line="360" w:lineRule="auto"/>
        <w:rPr>
          <w:rFonts w:ascii="楷体_GB2312" w:eastAsia="楷体_GB2312"/>
          <w:b/>
          <w:color w:val="auto"/>
          <w:sz w:val="40"/>
          <w:szCs w:val="40"/>
          <w:highlight w:val="none"/>
        </w:rPr>
      </w:pPr>
    </w:p>
    <w:p w14:paraId="2A9355F0">
      <w:pPr>
        <w:pStyle w:val="7"/>
        <w:spacing w:line="360" w:lineRule="auto"/>
        <w:rPr>
          <w:rFonts w:ascii="楷体_GB2312" w:eastAsia="楷体_GB2312"/>
          <w:b/>
          <w:color w:val="auto"/>
          <w:sz w:val="40"/>
          <w:szCs w:val="40"/>
          <w:highlight w:val="none"/>
        </w:rPr>
      </w:pPr>
    </w:p>
    <w:p w14:paraId="68ED7677">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5"/>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3"/>
        <w:spacing w:line="360" w:lineRule="auto"/>
        <w:rPr>
          <w:rFonts w:ascii="楷体_GB2312" w:eastAsia="楷体_GB2312"/>
          <w:b/>
          <w:color w:val="auto"/>
          <w:sz w:val="44"/>
          <w:szCs w:val="44"/>
          <w:highlight w:val="none"/>
        </w:rPr>
      </w:pPr>
    </w:p>
    <w:p w14:paraId="759833BB">
      <w:pPr>
        <w:pStyle w:val="7"/>
        <w:spacing w:line="360" w:lineRule="auto"/>
        <w:rPr>
          <w:rFonts w:ascii="楷体_GB2312" w:eastAsia="楷体_GB2312"/>
          <w:b/>
          <w:color w:val="auto"/>
          <w:sz w:val="44"/>
          <w:szCs w:val="44"/>
          <w:highlight w:val="none"/>
        </w:rPr>
      </w:pPr>
    </w:p>
    <w:p w14:paraId="798D6749">
      <w:pPr>
        <w:pStyle w:val="3"/>
        <w:spacing w:line="360" w:lineRule="auto"/>
        <w:rPr>
          <w:rFonts w:ascii="楷体_GB2312" w:eastAsia="楷体_GB2312"/>
          <w:b/>
          <w:color w:val="auto"/>
          <w:sz w:val="44"/>
          <w:szCs w:val="44"/>
          <w:highlight w:val="none"/>
        </w:rPr>
      </w:pPr>
    </w:p>
    <w:p w14:paraId="279E5D08">
      <w:pPr>
        <w:pStyle w:val="7"/>
        <w:spacing w:line="360" w:lineRule="auto"/>
        <w:rPr>
          <w:rFonts w:ascii="楷体_GB2312" w:eastAsia="楷体_GB2312"/>
          <w:b/>
          <w:color w:val="auto"/>
          <w:sz w:val="44"/>
          <w:szCs w:val="44"/>
          <w:highlight w:val="none"/>
        </w:rPr>
      </w:pPr>
    </w:p>
    <w:p w14:paraId="10B705AE">
      <w:pPr>
        <w:pStyle w:val="3"/>
        <w:spacing w:line="360" w:lineRule="auto"/>
        <w:rPr>
          <w:rFonts w:ascii="楷体_GB2312" w:eastAsia="楷体_GB2312"/>
          <w:b/>
          <w:color w:val="auto"/>
          <w:sz w:val="44"/>
          <w:szCs w:val="44"/>
          <w:highlight w:val="none"/>
        </w:rPr>
      </w:pPr>
    </w:p>
    <w:p w14:paraId="39C7FEC2">
      <w:pPr>
        <w:pStyle w:val="7"/>
        <w:spacing w:line="360" w:lineRule="auto"/>
        <w:rPr>
          <w:color w:val="auto"/>
          <w:highlight w:val="none"/>
        </w:rPr>
      </w:pPr>
    </w:p>
    <w:p w14:paraId="720CD7AA">
      <w:pPr>
        <w:pStyle w:val="3"/>
        <w:spacing w:line="360" w:lineRule="auto"/>
        <w:rPr>
          <w:rFonts w:ascii="楷体_GB2312" w:eastAsia="楷体_GB2312"/>
          <w:b/>
          <w:color w:val="auto"/>
          <w:sz w:val="44"/>
          <w:szCs w:val="44"/>
          <w:highlight w:val="none"/>
        </w:rPr>
      </w:pPr>
    </w:p>
    <w:p w14:paraId="7B4478DC">
      <w:pPr>
        <w:pStyle w:val="7"/>
        <w:spacing w:line="360" w:lineRule="auto"/>
        <w:rPr>
          <w:rFonts w:ascii="楷体_GB2312" w:eastAsia="楷体_GB2312"/>
          <w:b/>
          <w:color w:val="auto"/>
          <w:sz w:val="44"/>
          <w:szCs w:val="44"/>
          <w:highlight w:val="none"/>
        </w:rPr>
      </w:pPr>
    </w:p>
    <w:p w14:paraId="464E176B">
      <w:pPr>
        <w:pStyle w:val="3"/>
        <w:spacing w:line="360" w:lineRule="auto"/>
        <w:rPr>
          <w:rFonts w:ascii="楷体_GB2312" w:eastAsia="楷体_GB2312"/>
          <w:b/>
          <w:color w:val="auto"/>
          <w:sz w:val="44"/>
          <w:szCs w:val="44"/>
          <w:highlight w:val="none"/>
        </w:rPr>
      </w:pPr>
    </w:p>
    <w:p w14:paraId="7FED9A71">
      <w:pPr>
        <w:pStyle w:val="7"/>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6"/>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1"/>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11"/>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4"/>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83D02"/>
    <w:multiLevelType w:val="singleLevel"/>
    <w:tmpl w:val="B2483D02"/>
    <w:lvl w:ilvl="0" w:tentative="0">
      <w:start w:val="2"/>
      <w:numFmt w:val="chineseCounting"/>
      <w:suff w:val="nothing"/>
      <w:lvlText w:val="（%1）"/>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BC2FB5"/>
    <w:rsid w:val="03511AD9"/>
    <w:rsid w:val="03ED3BD7"/>
    <w:rsid w:val="046E6DD0"/>
    <w:rsid w:val="047E5946"/>
    <w:rsid w:val="04C91366"/>
    <w:rsid w:val="056025B0"/>
    <w:rsid w:val="05B64224"/>
    <w:rsid w:val="0696261C"/>
    <w:rsid w:val="07702EBF"/>
    <w:rsid w:val="08293E73"/>
    <w:rsid w:val="09A06EBC"/>
    <w:rsid w:val="0B043CFB"/>
    <w:rsid w:val="0CA2647A"/>
    <w:rsid w:val="0D2167C4"/>
    <w:rsid w:val="0D2D3085"/>
    <w:rsid w:val="0DAA7832"/>
    <w:rsid w:val="0DD979BE"/>
    <w:rsid w:val="0FBD7DE5"/>
    <w:rsid w:val="10362DC0"/>
    <w:rsid w:val="10E42CCD"/>
    <w:rsid w:val="11AD4ADB"/>
    <w:rsid w:val="126445BB"/>
    <w:rsid w:val="14DD66A2"/>
    <w:rsid w:val="15512530"/>
    <w:rsid w:val="164556E1"/>
    <w:rsid w:val="16810234"/>
    <w:rsid w:val="17254BB9"/>
    <w:rsid w:val="175D4ED0"/>
    <w:rsid w:val="199476C8"/>
    <w:rsid w:val="1AA3690C"/>
    <w:rsid w:val="1AC71843"/>
    <w:rsid w:val="1AD364FF"/>
    <w:rsid w:val="1ADE3486"/>
    <w:rsid w:val="1B08700D"/>
    <w:rsid w:val="1B261D69"/>
    <w:rsid w:val="1BF43CB2"/>
    <w:rsid w:val="1C7D1E5D"/>
    <w:rsid w:val="1E0F3C2B"/>
    <w:rsid w:val="1E2C09AB"/>
    <w:rsid w:val="1E897F61"/>
    <w:rsid w:val="1F1C42EA"/>
    <w:rsid w:val="1F686EFF"/>
    <w:rsid w:val="213B2764"/>
    <w:rsid w:val="21657A51"/>
    <w:rsid w:val="23F4427C"/>
    <w:rsid w:val="25333A88"/>
    <w:rsid w:val="25776FB2"/>
    <w:rsid w:val="26B047DC"/>
    <w:rsid w:val="26BD4622"/>
    <w:rsid w:val="26C54B2C"/>
    <w:rsid w:val="27BC5F2F"/>
    <w:rsid w:val="27C42B43"/>
    <w:rsid w:val="28C13F2B"/>
    <w:rsid w:val="2A604980"/>
    <w:rsid w:val="2A727AC6"/>
    <w:rsid w:val="2BCE7FDF"/>
    <w:rsid w:val="2CC80594"/>
    <w:rsid w:val="2DDE2D69"/>
    <w:rsid w:val="2ECC1930"/>
    <w:rsid w:val="312D39F9"/>
    <w:rsid w:val="31B67ACD"/>
    <w:rsid w:val="334D7ECB"/>
    <w:rsid w:val="33F45566"/>
    <w:rsid w:val="3503072C"/>
    <w:rsid w:val="356F257B"/>
    <w:rsid w:val="35786F8C"/>
    <w:rsid w:val="35E30AE8"/>
    <w:rsid w:val="36F5483C"/>
    <w:rsid w:val="389425B0"/>
    <w:rsid w:val="3A9D764F"/>
    <w:rsid w:val="3C65673D"/>
    <w:rsid w:val="3D035E9B"/>
    <w:rsid w:val="3D50551B"/>
    <w:rsid w:val="3D6C7658"/>
    <w:rsid w:val="3DC2628F"/>
    <w:rsid w:val="3DD60AE2"/>
    <w:rsid w:val="3E5C0069"/>
    <w:rsid w:val="3E7A2DAA"/>
    <w:rsid w:val="3E8B1175"/>
    <w:rsid w:val="3FB97B2C"/>
    <w:rsid w:val="40181D19"/>
    <w:rsid w:val="40BD676E"/>
    <w:rsid w:val="417E75E8"/>
    <w:rsid w:val="41910115"/>
    <w:rsid w:val="41D908F9"/>
    <w:rsid w:val="438B3EDE"/>
    <w:rsid w:val="44F31851"/>
    <w:rsid w:val="45AA573E"/>
    <w:rsid w:val="45B275F5"/>
    <w:rsid w:val="46BC33FE"/>
    <w:rsid w:val="46EE7477"/>
    <w:rsid w:val="47BC0C07"/>
    <w:rsid w:val="489259CA"/>
    <w:rsid w:val="498B3956"/>
    <w:rsid w:val="4BC53306"/>
    <w:rsid w:val="4C15710C"/>
    <w:rsid w:val="4C2E5FB6"/>
    <w:rsid w:val="4C63431C"/>
    <w:rsid w:val="4C9444D5"/>
    <w:rsid w:val="4CE2174D"/>
    <w:rsid w:val="4E141911"/>
    <w:rsid w:val="4E370E84"/>
    <w:rsid w:val="4F7C19ED"/>
    <w:rsid w:val="4FB142EA"/>
    <w:rsid w:val="506863A4"/>
    <w:rsid w:val="513814F5"/>
    <w:rsid w:val="51497716"/>
    <w:rsid w:val="520457CB"/>
    <w:rsid w:val="522C2C59"/>
    <w:rsid w:val="539774E2"/>
    <w:rsid w:val="541A03F5"/>
    <w:rsid w:val="54C5216A"/>
    <w:rsid w:val="54D577A2"/>
    <w:rsid w:val="55357439"/>
    <w:rsid w:val="57315742"/>
    <w:rsid w:val="589A572D"/>
    <w:rsid w:val="58C92DB8"/>
    <w:rsid w:val="5A2C4216"/>
    <w:rsid w:val="5A3433AD"/>
    <w:rsid w:val="5B761B8D"/>
    <w:rsid w:val="5D01514B"/>
    <w:rsid w:val="5DBA0782"/>
    <w:rsid w:val="5F2D396D"/>
    <w:rsid w:val="60D04179"/>
    <w:rsid w:val="60E47381"/>
    <w:rsid w:val="61C7729B"/>
    <w:rsid w:val="62641034"/>
    <w:rsid w:val="6374691F"/>
    <w:rsid w:val="643B2EFE"/>
    <w:rsid w:val="65005919"/>
    <w:rsid w:val="665A019F"/>
    <w:rsid w:val="6672068F"/>
    <w:rsid w:val="670C6B88"/>
    <w:rsid w:val="67BF44A6"/>
    <w:rsid w:val="68AC5DD9"/>
    <w:rsid w:val="68C926A3"/>
    <w:rsid w:val="692857E0"/>
    <w:rsid w:val="69E70454"/>
    <w:rsid w:val="6A6C5C24"/>
    <w:rsid w:val="6A832AFB"/>
    <w:rsid w:val="6B5E6742"/>
    <w:rsid w:val="6CD40DBF"/>
    <w:rsid w:val="6D0D24E0"/>
    <w:rsid w:val="6DA050EC"/>
    <w:rsid w:val="6E0440FB"/>
    <w:rsid w:val="72845AC6"/>
    <w:rsid w:val="72F8490A"/>
    <w:rsid w:val="73ED08CD"/>
    <w:rsid w:val="74120755"/>
    <w:rsid w:val="745C662B"/>
    <w:rsid w:val="74B308B5"/>
    <w:rsid w:val="75247769"/>
    <w:rsid w:val="753F0E71"/>
    <w:rsid w:val="75716A92"/>
    <w:rsid w:val="758D2516"/>
    <w:rsid w:val="7599235F"/>
    <w:rsid w:val="7858402F"/>
    <w:rsid w:val="78D50787"/>
    <w:rsid w:val="79FE2EB5"/>
    <w:rsid w:val="7B8F04A8"/>
    <w:rsid w:val="7C95557C"/>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99"/>
    <w:pPr>
      <w:tabs>
        <w:tab w:val="left" w:pos="4606"/>
      </w:tabs>
      <w:ind w:firstLine="420"/>
    </w:pPr>
  </w:style>
  <w:style w:type="paragraph" w:styleId="3">
    <w:name w:val="Body Text Indent"/>
    <w:basedOn w:val="1"/>
    <w:autoRedefine/>
    <w:qFormat/>
    <w:uiPriority w:val="0"/>
    <w:pPr>
      <w:spacing w:after="120"/>
      <w:ind w:left="420" w:leftChars="200"/>
    </w:pPr>
  </w:style>
  <w:style w:type="paragraph" w:styleId="7">
    <w:name w:val="Normal Indent"/>
    <w:basedOn w:val="1"/>
    <w:next w:val="8"/>
    <w:autoRedefine/>
    <w:qFormat/>
    <w:uiPriority w:val="0"/>
    <w:pPr>
      <w:ind w:firstLine="420"/>
    </w:pPr>
    <w:rPr>
      <w:szCs w:val="20"/>
    </w:rPr>
  </w:style>
  <w:style w:type="paragraph" w:styleId="8">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text"/>
    <w:basedOn w:val="1"/>
    <w:autoRedefine/>
    <w:qFormat/>
    <w:uiPriority w:val="0"/>
    <w:pPr>
      <w:jc w:val="left"/>
    </w:pPr>
  </w:style>
  <w:style w:type="paragraph" w:styleId="10">
    <w:name w:val="Body Text"/>
    <w:basedOn w:val="1"/>
    <w:next w:val="1"/>
    <w:autoRedefine/>
    <w:qFormat/>
    <w:uiPriority w:val="0"/>
    <w:pPr>
      <w:spacing w:after="120"/>
    </w:pPr>
  </w:style>
  <w:style w:type="paragraph" w:styleId="11">
    <w:name w:val="Plain Text"/>
    <w:basedOn w:val="1"/>
    <w:autoRedefine/>
    <w:qFormat/>
    <w:uiPriority w:val="0"/>
    <w:rPr>
      <w:rFonts w:ascii="宋体" w:hAnsi="Courier New"/>
      <w:kern w:val="0"/>
      <w:sz w:val="20"/>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4"/>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envelope return"/>
    <w:basedOn w:val="1"/>
    <w:autoRedefine/>
    <w:qFormat/>
    <w:uiPriority w:val="0"/>
    <w:pPr>
      <w:snapToGrid w:val="0"/>
    </w:pPr>
    <w:rPr>
      <w:rFonts w:ascii="Arial" w:hAnsi="Arial"/>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10"/>
    <w:autoRedefine/>
    <w:qFormat/>
    <w:uiPriority w:val="0"/>
    <w:pPr>
      <w:ind w:firstLine="420" w:firstLineChars="100"/>
    </w:pPr>
    <w:rPr>
      <w:rFonts w:ascii="Times New Roman" w:hAnsi="Times New Roman"/>
      <w:szCs w:val="20"/>
    </w:r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1"/>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8"/>
    <w:autoRedefine/>
    <w:qFormat/>
    <w:uiPriority w:val="0"/>
    <w:rPr>
      <w:rFonts w:ascii="Calibri" w:hAnsi="Calibri"/>
      <w:kern w:val="2"/>
      <w:sz w:val="18"/>
      <w:szCs w:val="18"/>
    </w:rPr>
  </w:style>
  <w:style w:type="character" w:customStyle="1" w:styleId="34">
    <w:name w:val="批注框文本 Char"/>
    <w:basedOn w:val="22"/>
    <w:link w:val="1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26</Pages>
  <Words>9912</Words>
  <Characters>10307</Characters>
  <Lines>186</Lines>
  <Paragraphs>52</Paragraphs>
  <TotalTime>0</TotalTime>
  <ScaleCrop>false</ScaleCrop>
  <LinksUpToDate>false</LinksUpToDate>
  <CharactersWithSpaces>10962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2025-03-19T08:22:41Z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