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72"/>
          <w:szCs w:val="72"/>
          <w:highlight w:val="none"/>
          <w:lang w:eastAsia="zh-CN"/>
        </w:rPr>
        <w:t>福建省社区矫正监管指挥平台等级保护测评</w:t>
      </w:r>
      <w:r>
        <w:rPr>
          <w:rFonts w:hint="eastAsia" w:ascii="宋体" w:hAnsi="宋体" w:cs="宋体"/>
          <w:b/>
          <w:color w:val="auto"/>
          <w:sz w:val="72"/>
          <w:szCs w:val="72"/>
          <w:highlight w:val="none"/>
          <w:lang w:val="en-US" w:eastAsia="zh-CN"/>
        </w:rPr>
        <w:t>服务</w:t>
      </w:r>
      <w:r>
        <w:rPr>
          <w:rFonts w:hint="eastAsia" w:ascii="宋体" w:hAnsi="宋体" w:cs="宋体"/>
          <w:b/>
          <w:color w:val="auto"/>
          <w:sz w:val="72"/>
          <w:szCs w:val="72"/>
          <w:highlight w:val="none"/>
          <w:lang w:eastAsia="zh-CN"/>
        </w:rPr>
        <w:t xml:space="preserve">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1"/>
        <w:spacing w:line="0" w:lineRule="atLeast"/>
        <w:rPr>
          <w:rFonts w:hAnsi="宋体"/>
          <w:b/>
          <w:color w:val="auto"/>
          <w:sz w:val="32"/>
          <w:highlight w:val="none"/>
        </w:rPr>
      </w:pPr>
    </w:p>
    <w:p w14:paraId="6CBF94AB">
      <w:pPr>
        <w:pStyle w:val="11"/>
        <w:spacing w:line="0" w:lineRule="atLeast"/>
        <w:jc w:val="center"/>
        <w:rPr>
          <w:rFonts w:hAnsi="宋体"/>
          <w:b/>
          <w:color w:val="auto"/>
          <w:sz w:val="36"/>
          <w:highlight w:val="none"/>
        </w:rPr>
      </w:pPr>
    </w:p>
    <w:p w14:paraId="0DC222AE">
      <w:pPr>
        <w:pStyle w:val="11"/>
        <w:spacing w:line="0" w:lineRule="atLeast"/>
        <w:jc w:val="both"/>
        <w:rPr>
          <w:rFonts w:hAnsi="宋体"/>
          <w:b/>
          <w:color w:val="auto"/>
          <w:sz w:val="36"/>
          <w:highlight w:val="none"/>
        </w:rPr>
      </w:pPr>
    </w:p>
    <w:p w14:paraId="0DD67B47">
      <w:pPr>
        <w:pStyle w:val="11"/>
        <w:spacing w:line="0" w:lineRule="atLeast"/>
        <w:jc w:val="both"/>
        <w:rPr>
          <w:rFonts w:hAnsi="宋体"/>
          <w:b/>
          <w:color w:val="auto"/>
          <w:sz w:val="36"/>
          <w:highlight w:val="none"/>
        </w:rPr>
      </w:pPr>
    </w:p>
    <w:p w14:paraId="7F3ECCF0">
      <w:pPr>
        <w:pStyle w:val="11"/>
        <w:spacing w:line="0" w:lineRule="atLeast"/>
        <w:jc w:val="both"/>
        <w:rPr>
          <w:rFonts w:hAnsi="宋体"/>
          <w:b/>
          <w:color w:val="auto"/>
          <w:sz w:val="36"/>
          <w:highlight w:val="none"/>
        </w:rPr>
      </w:pPr>
    </w:p>
    <w:p w14:paraId="65572771">
      <w:pPr>
        <w:pStyle w:val="11"/>
        <w:spacing w:line="400" w:lineRule="exact"/>
        <w:rPr>
          <w:rFonts w:hAnsi="宋体"/>
          <w:b/>
          <w:color w:val="auto"/>
          <w:sz w:val="36"/>
          <w:highlight w:val="none"/>
        </w:rPr>
      </w:pPr>
    </w:p>
    <w:p w14:paraId="31591C01">
      <w:pPr>
        <w:pStyle w:val="11"/>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JJZB-WJ-2024006</w:t>
      </w:r>
    </w:p>
    <w:p w14:paraId="6385ECEA">
      <w:pPr>
        <w:pStyle w:val="11"/>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福建省社区矫正监管指挥平台等级保护测评</w:t>
      </w:r>
      <w:r>
        <w:rPr>
          <w:rFonts w:hint="eastAsia" w:hAnsi="宋体"/>
          <w:b/>
          <w:color w:val="auto"/>
          <w:sz w:val="32"/>
          <w:szCs w:val="32"/>
          <w:highlight w:val="none"/>
          <w:lang w:val="en-US" w:eastAsia="zh-CN"/>
        </w:rPr>
        <w:t>服务</w:t>
      </w:r>
      <w:r>
        <w:rPr>
          <w:rFonts w:hint="eastAsia" w:hAnsi="宋体"/>
          <w:b/>
          <w:color w:val="auto"/>
          <w:sz w:val="32"/>
          <w:szCs w:val="32"/>
          <w:highlight w:val="none"/>
          <w:lang w:eastAsia="zh-CN"/>
        </w:rPr>
        <w:t>项目</w:t>
      </w:r>
    </w:p>
    <w:p w14:paraId="4D39A686">
      <w:pPr>
        <w:pStyle w:val="11"/>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6"/>
        <w:jc w:val="both"/>
        <w:rPr>
          <w:rFonts w:hint="default"/>
          <w:color w:val="auto"/>
          <w:sz w:val="48"/>
          <w:highlight w:val="none"/>
        </w:rPr>
      </w:pPr>
    </w:p>
    <w:p w14:paraId="6280ACD9">
      <w:pPr>
        <w:rPr>
          <w:rFonts w:hint="default"/>
        </w:rPr>
      </w:pPr>
    </w:p>
    <w:p w14:paraId="0D6CB01F">
      <w:pPr>
        <w:rPr>
          <w:rFonts w:hint="default"/>
        </w:rPr>
      </w:pPr>
    </w:p>
    <w:p w14:paraId="1D831961">
      <w:pPr>
        <w:pStyle w:val="11"/>
        <w:rPr>
          <w:rFonts w:hint="default"/>
        </w:rPr>
      </w:pPr>
    </w:p>
    <w:p w14:paraId="068EB945">
      <w:pPr>
        <w:pStyle w:val="11"/>
        <w:rPr>
          <w:rFonts w:hint="default"/>
        </w:rPr>
      </w:pPr>
    </w:p>
    <w:p w14:paraId="27374161">
      <w:pPr>
        <w:pStyle w:val="11"/>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十一</w:t>
      </w:r>
      <w:r>
        <w:rPr>
          <w:rFonts w:hint="eastAsia" w:ascii="宋体" w:hAnsi="宋体"/>
          <w:b/>
          <w:color w:val="auto"/>
          <w:sz w:val="32"/>
          <w:szCs w:val="32"/>
          <w:highlight w:val="none"/>
        </w:rPr>
        <w:t>月</w:t>
      </w:r>
    </w:p>
    <w:p w14:paraId="630F192B">
      <w:pPr>
        <w:pStyle w:val="3"/>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福建省社区矫正监管指挥平台等级保护测评</w:t>
      </w:r>
      <w:r>
        <w:rPr>
          <w:rFonts w:hint="eastAsia" w:ascii="宋体" w:hAnsi="宋体" w:cs="宋体"/>
          <w:b/>
          <w:bCs/>
          <w:color w:val="auto"/>
          <w:kern w:val="0"/>
          <w:sz w:val="24"/>
          <w:highlight w:val="none"/>
          <w:u w:val="single"/>
          <w:lang w:val="en-US" w:eastAsia="zh-CN"/>
        </w:rPr>
        <w:t>服务</w:t>
      </w:r>
      <w:r>
        <w:rPr>
          <w:rFonts w:hint="eastAsia" w:ascii="宋体" w:hAnsi="宋体" w:cs="宋体"/>
          <w:b/>
          <w:bCs/>
          <w:color w:val="auto"/>
          <w:kern w:val="0"/>
          <w:sz w:val="24"/>
          <w:highlight w:val="none"/>
          <w:u w:val="single"/>
          <w:lang w:eastAsia="zh-CN"/>
        </w:rPr>
        <w:t>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JJZB-WJ-2024006</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福建省社区矫正监管指挥平台等级保护测评</w:t>
      </w:r>
      <w:r>
        <w:rPr>
          <w:rFonts w:hint="eastAsia" w:ascii="宋体" w:hAnsi="宋体" w:cs="宋体"/>
          <w:b/>
          <w:bCs/>
          <w:color w:val="auto"/>
          <w:kern w:val="0"/>
          <w:sz w:val="24"/>
          <w:highlight w:val="none"/>
          <w:u w:val="single"/>
          <w:lang w:val="en-US" w:eastAsia="zh-CN"/>
        </w:rPr>
        <w:t>服务</w:t>
      </w:r>
      <w:r>
        <w:rPr>
          <w:rFonts w:hint="eastAsia" w:ascii="宋体" w:hAnsi="宋体" w:cs="宋体"/>
          <w:b/>
          <w:bCs/>
          <w:color w:val="auto"/>
          <w:kern w:val="0"/>
          <w:sz w:val="24"/>
          <w:highlight w:val="none"/>
          <w:u w:val="single"/>
          <w:lang w:eastAsia="zh-CN"/>
        </w:rPr>
        <w:t>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15</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20</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bookmarkStart w:id="8" w:name="_GoBack"/>
      <w:bookmarkEnd w:id="8"/>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20</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b/>
          <w:bCs/>
          <w:sz w:val="24"/>
          <w:highlight w:val="none"/>
          <w:lang w:val="en-US" w:eastAsia="zh-CN"/>
        </w:rPr>
        <w:t>供应商须具备有效的网络安全等级测评与检测评估机构服务资质，并提供网络安全等级测评与检测评估机构服务认证证书复印件。</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5</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 xml:space="preserve">：高先生 </w:t>
      </w:r>
      <w:r>
        <w:rPr>
          <w:rFonts w:hint="eastAsia" w:ascii="宋体" w:hAnsi="宋体" w:eastAsia="宋体" w:cs="宋体"/>
          <w:color w:val="auto"/>
          <w:sz w:val="24"/>
          <w:szCs w:val="24"/>
          <w:highlight w:val="none"/>
          <w:lang w:val="en-US" w:eastAsia="zh-CN"/>
        </w:rPr>
        <w:t xml:space="preserve"> 0591-83770240</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5"/>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1"/>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6"/>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9317661"/>
      <w:bookmarkStart w:id="2" w:name="_Toc358016816"/>
      <w:bookmarkStart w:id="3" w:name="_Toc330567034"/>
      <w:bookmarkStart w:id="4" w:name="_Toc327948617"/>
      <w:bookmarkStart w:id="5" w:name="_Toc346300367"/>
      <w:bookmarkStart w:id="6" w:name="_Toc347060296"/>
      <w:r>
        <w:rPr>
          <w:rFonts w:hint="eastAsia" w:ascii="宋体" w:hAnsi="宋体" w:cs="宋体"/>
          <w:b/>
          <w:color w:val="auto"/>
          <w:sz w:val="24"/>
          <w:szCs w:val="24"/>
          <w:highlight w:val="none"/>
        </w:rPr>
        <w:t>一、项目概述</w:t>
      </w:r>
      <w:bookmarkEnd w:id="1"/>
      <w:bookmarkEnd w:id="2"/>
    </w:p>
    <w:p w14:paraId="203DEE77">
      <w:pPr>
        <w:pStyle w:val="30"/>
        <w:keepNext w:val="0"/>
        <w:keepLines w:val="0"/>
        <w:pageBreakBefore w:val="0"/>
        <w:kinsoku/>
        <w:wordWrap/>
        <w:overflowPunct/>
        <w:topLinePunct w:val="0"/>
        <w:autoSpaceDE/>
        <w:autoSpaceDN/>
        <w:bidi w:val="0"/>
        <w:adjustRightInd/>
        <w:snapToGrid/>
        <w:spacing w:line="440" w:lineRule="exact"/>
        <w:ind w:firstLine="480" w:firstLineChars="200"/>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1、福建省社区矫正</w:t>
      </w:r>
      <w:r>
        <w:rPr>
          <w:rFonts w:hint="eastAsia" w:ascii="宋体" w:hAnsi="宋体" w:cs="新宋体"/>
          <w:b w:val="0"/>
          <w:bCs w:val="0"/>
          <w:color w:val="auto"/>
          <w:kern w:val="0"/>
          <w:sz w:val="24"/>
          <w:szCs w:val="24"/>
          <w:highlight w:val="none"/>
          <w:lang w:eastAsia="zh-CN"/>
        </w:rPr>
        <w:t>监管指挥平台</w:t>
      </w:r>
      <w:r>
        <w:rPr>
          <w:rFonts w:hint="eastAsia" w:ascii="宋体" w:hAnsi="宋体" w:cs="新宋体"/>
          <w:b w:val="0"/>
          <w:bCs w:val="0"/>
          <w:color w:val="auto"/>
          <w:kern w:val="0"/>
          <w:sz w:val="24"/>
          <w:szCs w:val="24"/>
          <w:highlight w:val="none"/>
          <w:lang w:val="en-US" w:eastAsia="zh-CN"/>
        </w:rPr>
        <w:t>建设于2018年8月，于2022年12月进行升级，系统部署于政务云平台，有17台虚拟机、1个数据库实例。系统于2020年8月按《网络安全等级保护定级指南》确定为三级信息系统，每年需至少开展一次等级保护测评。</w:t>
      </w:r>
    </w:p>
    <w:p w14:paraId="401C1468">
      <w:pPr>
        <w:pStyle w:val="30"/>
        <w:keepNext w:val="0"/>
        <w:keepLines w:val="0"/>
        <w:pageBreakBefore w:val="0"/>
        <w:kinsoku/>
        <w:wordWrap/>
        <w:overflowPunct/>
        <w:topLinePunct w:val="0"/>
        <w:autoSpaceDE/>
        <w:autoSpaceDN/>
        <w:bidi w:val="0"/>
        <w:adjustRightInd/>
        <w:snapToGrid/>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4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0"/>
        <w:gridCol w:w="1607"/>
        <w:gridCol w:w="855"/>
        <w:gridCol w:w="2612"/>
        <w:gridCol w:w="1665"/>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607"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5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612"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607"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福建省社区矫正监管指挥平台等级保护测评</w:t>
            </w:r>
            <w:r>
              <w:rPr>
                <w:rFonts w:hint="eastAsia" w:ascii="宋体" w:hAnsi="宋体" w:cs="新宋体"/>
                <w:b w:val="0"/>
                <w:bCs w:val="0"/>
                <w:color w:val="auto"/>
                <w:kern w:val="0"/>
                <w:sz w:val="24"/>
                <w:szCs w:val="24"/>
                <w:highlight w:val="none"/>
                <w:lang w:val="en-US" w:eastAsia="zh-CN"/>
              </w:rPr>
              <w:t>服务</w:t>
            </w:r>
            <w:r>
              <w:rPr>
                <w:rFonts w:hint="eastAsia" w:ascii="宋体" w:hAnsi="宋体" w:cs="新宋体"/>
                <w:b w:val="0"/>
                <w:bCs w:val="0"/>
                <w:color w:val="auto"/>
                <w:kern w:val="0"/>
                <w:sz w:val="24"/>
                <w:szCs w:val="24"/>
                <w:highlight w:val="none"/>
                <w:lang w:eastAsia="zh-CN"/>
              </w:rPr>
              <w:t>项目</w:t>
            </w:r>
          </w:p>
        </w:tc>
        <w:tc>
          <w:tcPr>
            <w:tcW w:w="85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2612"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7日内完成</w:t>
            </w:r>
            <w:r>
              <w:rPr>
                <w:rFonts w:hint="eastAsia" w:ascii="宋体" w:hAnsi="宋体" w:cs="宋体"/>
                <w:b w:val="0"/>
                <w:bCs/>
                <w:color w:val="auto"/>
                <w:sz w:val="24"/>
                <w:szCs w:val="24"/>
                <w:highlight w:val="none"/>
                <w:lang w:val="en-US" w:eastAsia="zh-CN"/>
              </w:rPr>
              <w:t>等保测评并出具合格的测评报告</w:t>
            </w:r>
            <w:r>
              <w:rPr>
                <w:rFonts w:hint="eastAsia" w:ascii="宋体" w:hAnsi="宋体" w:cs="宋体"/>
                <w:b w:val="0"/>
                <w:bCs w:val="0"/>
                <w:color w:val="auto"/>
                <w:kern w:val="0"/>
                <w:sz w:val="24"/>
                <w:szCs w:val="24"/>
                <w:highlight w:val="none"/>
                <w:lang w:val="en-US" w:eastAsia="zh-CN"/>
              </w:rPr>
              <w:t>（成交</w:t>
            </w:r>
            <w:r>
              <w:rPr>
                <w:rFonts w:hint="default" w:ascii="宋体" w:hAnsi="宋体" w:eastAsia="宋体" w:cs="宋体"/>
                <w:b w:val="0"/>
                <w:bCs w:val="0"/>
                <w:color w:val="auto"/>
                <w:kern w:val="0"/>
                <w:sz w:val="24"/>
                <w:szCs w:val="24"/>
                <w:highlight w:val="none"/>
                <w:lang w:val="en-US" w:eastAsia="zh-CN"/>
              </w:rPr>
              <w:t>人于合同签订当</w:t>
            </w:r>
            <w:r>
              <w:rPr>
                <w:rFonts w:hint="eastAsia" w:ascii="宋体" w:hAnsi="宋体" w:cs="宋体"/>
                <w:b w:val="0"/>
                <w:bCs w:val="0"/>
                <w:color w:val="auto"/>
                <w:kern w:val="0"/>
                <w:sz w:val="24"/>
                <w:szCs w:val="24"/>
                <w:highlight w:val="none"/>
                <w:lang w:val="en-US" w:eastAsia="zh-CN"/>
              </w:rPr>
              <w:t>日</w:t>
            </w:r>
            <w:r>
              <w:rPr>
                <w:rFonts w:hint="default" w:ascii="宋体" w:hAnsi="宋体" w:eastAsia="宋体" w:cs="宋体"/>
                <w:b w:val="0"/>
                <w:bCs w:val="0"/>
                <w:color w:val="auto"/>
                <w:kern w:val="0"/>
                <w:sz w:val="24"/>
                <w:szCs w:val="24"/>
                <w:highlight w:val="none"/>
                <w:lang w:val="en-US" w:eastAsia="zh-CN"/>
              </w:rPr>
              <w:t>开展测评工作，</w:t>
            </w:r>
            <w:r>
              <w:rPr>
                <w:rFonts w:hint="eastAsia" w:ascii="宋体" w:hAnsi="宋体" w:cs="宋体"/>
                <w:b w:val="0"/>
                <w:bCs w:val="0"/>
                <w:color w:val="auto"/>
                <w:kern w:val="0"/>
                <w:sz w:val="24"/>
                <w:szCs w:val="24"/>
                <w:highlight w:val="none"/>
                <w:lang w:val="en-US" w:eastAsia="zh-CN"/>
              </w:rPr>
              <w:t>成交人</w:t>
            </w:r>
            <w:r>
              <w:rPr>
                <w:rFonts w:hint="default" w:ascii="宋体" w:hAnsi="宋体" w:eastAsia="宋体" w:cs="宋体"/>
                <w:b w:val="0"/>
                <w:bCs w:val="0"/>
                <w:color w:val="auto"/>
                <w:kern w:val="0"/>
                <w:sz w:val="24"/>
                <w:szCs w:val="24"/>
                <w:highlight w:val="none"/>
                <w:lang w:val="en-US" w:eastAsia="zh-CN"/>
              </w:rPr>
              <w:t>进场测评后，3</w:t>
            </w:r>
            <w:r>
              <w:rPr>
                <w:rFonts w:hint="eastAsia" w:ascii="宋体" w:hAnsi="宋体" w:cs="宋体"/>
                <w:b w:val="0"/>
                <w:bCs w:val="0"/>
                <w:color w:val="auto"/>
                <w:kern w:val="0"/>
                <w:sz w:val="24"/>
                <w:szCs w:val="24"/>
                <w:highlight w:val="none"/>
                <w:lang w:val="en-US" w:eastAsia="zh-CN"/>
              </w:rPr>
              <w:t>日内</w:t>
            </w:r>
            <w:r>
              <w:rPr>
                <w:rFonts w:hint="default" w:ascii="宋体" w:hAnsi="宋体" w:eastAsia="宋体" w:cs="宋体"/>
                <w:b w:val="0"/>
                <w:bCs w:val="0"/>
                <w:color w:val="auto"/>
                <w:kern w:val="0"/>
                <w:sz w:val="24"/>
                <w:szCs w:val="24"/>
                <w:highlight w:val="none"/>
                <w:lang w:val="en-US" w:eastAsia="zh-CN"/>
              </w:rPr>
              <w:t>出具整改建议</w:t>
            </w:r>
            <w:r>
              <w:rPr>
                <w:rFonts w:hint="eastAsia" w:ascii="宋体" w:hAnsi="宋体" w:cs="宋体"/>
                <w:b w:val="0"/>
                <w:bCs w:val="0"/>
                <w:color w:val="auto"/>
                <w:kern w:val="0"/>
                <w:sz w:val="24"/>
                <w:szCs w:val="24"/>
                <w:highlight w:val="none"/>
                <w:lang w:val="en-US" w:eastAsia="zh-CN"/>
              </w:rPr>
              <w:t>）</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50000.00</w:t>
            </w:r>
          </w:p>
        </w:tc>
      </w:tr>
    </w:tbl>
    <w:p w14:paraId="494F6A1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括：劳务、人员工资、管理、保险等，以及所有根据合同或其它原因应由供应商支付的税金和其它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4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15C38D2F">
      <w:pPr>
        <w:keepNext w:val="0"/>
        <w:keepLines w:val="0"/>
        <w:pageBreakBefore w:val="0"/>
        <w:kinsoku/>
        <w:wordWrap/>
        <w:overflowPunct/>
        <w:topLinePunct w:val="0"/>
        <w:autoSpaceDE/>
        <w:autoSpaceDN/>
        <w:bidi w:val="0"/>
        <w:adjustRightInd/>
        <w:spacing w:line="440" w:lineRule="exact"/>
        <w:ind w:firstLine="482" w:firstLineChars="200"/>
        <w:rPr>
          <w:rFonts w:hint="eastAsia" w:ascii="宋体" w:hAnsi="宋体" w:cs="宋体"/>
          <w:b w:val="0"/>
          <w:bCs/>
          <w:color w:val="auto"/>
          <w:sz w:val="24"/>
          <w:szCs w:val="24"/>
          <w:highlight w:val="none"/>
          <w:lang w:val="en-US" w:eastAsia="zh-CN"/>
        </w:rPr>
      </w:pPr>
      <w:r>
        <w:rPr>
          <w:rFonts w:hint="eastAsia" w:ascii="宋体" w:hAnsi="宋体" w:cs="宋体"/>
          <w:b/>
          <w:color w:val="auto"/>
          <w:sz w:val="24"/>
          <w:szCs w:val="24"/>
          <w:highlight w:val="none"/>
          <w:lang w:val="en-US" w:eastAsia="zh-CN"/>
        </w:rPr>
        <w:t>1、服务要求：</w:t>
      </w:r>
      <w:r>
        <w:rPr>
          <w:rFonts w:hint="eastAsia" w:ascii="宋体" w:hAnsi="宋体" w:cs="宋体"/>
          <w:b w:val="0"/>
          <w:bCs/>
          <w:color w:val="auto"/>
          <w:sz w:val="24"/>
          <w:szCs w:val="24"/>
          <w:highlight w:val="none"/>
          <w:lang w:val="en-US" w:eastAsia="zh-CN"/>
        </w:rPr>
        <w:t>服务期限内，成交人需根据采购人要求，在规定时间内对采购人“社区矫正监管指挥平台”提供网络安全等级保护测评服务及协助测评服务，取得由列入《全国网络安全等级测评与检测评估机构目录》内，且已经通过上年度网络安全等级保护评测机构能力验证的测评机构出具的已通过等保测评的等保测评报告。</w:t>
      </w:r>
    </w:p>
    <w:p w14:paraId="0EDAEC12">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color w:val="auto"/>
          <w:sz w:val="24"/>
          <w:szCs w:val="24"/>
          <w:highlight w:val="none"/>
          <w:lang w:val="en-US" w:eastAsia="zh-CN"/>
        </w:rPr>
      </w:pPr>
      <w:r>
        <w:rPr>
          <w:rFonts w:hint="eastAsia" w:ascii="宋体" w:hAnsi="宋体" w:cs="宋体"/>
          <w:b w:val="0"/>
          <w:bCs/>
          <w:color w:val="auto"/>
          <w:sz w:val="24"/>
          <w:szCs w:val="24"/>
          <w:highlight w:val="none"/>
          <w:lang w:val="en-US" w:eastAsia="zh-CN"/>
        </w:rPr>
        <w:t>测评服务主要包括以下几个方面：</w:t>
      </w:r>
    </w:p>
    <w:p w14:paraId="04616F9D">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①等保测评：完成包括安全物理环境、安全计算环境、安全区域边界、安全通信网络、安全管理中心和安全管理机构、安全管理制度、安全管理人员、安全建设管理和安全运维管理方面的测评工作；</w:t>
      </w:r>
    </w:p>
    <w:p w14:paraId="5B09E77C">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②工具测试：针对重要信息系统进行定期的漏洞扫描、渗透测试等安全服务工作；</w:t>
      </w:r>
    </w:p>
    <w:p w14:paraId="1FAC38EE">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③整改建议：成交人应根据现场测评中发现的问题，分析被测评对象与《信息安全技术网络安全等级保护基本要求》GB/T22239-2019标准要求之间的差距，按照网络安全等级保护标准要求提出安全整改建议；</w:t>
      </w:r>
    </w:p>
    <w:p w14:paraId="4E309A62">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④编制测评报告：完成上述测评工作和整改加固实施后，成交人最后出具符合标准要求的各信息系统网络安全等级保护测评报告；</w:t>
      </w:r>
    </w:p>
    <w:p w14:paraId="6F564771">
      <w:pPr>
        <w:keepNext w:val="0"/>
        <w:keepLines w:val="0"/>
        <w:pageBreakBefore w:val="0"/>
        <w:kinsoku/>
        <w:wordWrap/>
        <w:overflowPunct/>
        <w:topLinePunct w:val="0"/>
        <w:autoSpaceDE/>
        <w:autoSpaceDN/>
        <w:bidi w:val="0"/>
        <w:adjustRightInd/>
        <w:spacing w:line="440" w:lineRule="exact"/>
        <w:ind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⑤整理测评资料：须协助采购人完成等保测评所需资料的收集、整理、制作、归档工作。</w:t>
      </w:r>
    </w:p>
    <w:p w14:paraId="4E3F5BF9">
      <w:pPr>
        <w:keepNext w:val="0"/>
        <w:keepLines w:val="0"/>
        <w:pageBreakBefore w:val="0"/>
        <w:kinsoku/>
        <w:wordWrap/>
        <w:overflowPunct/>
        <w:topLinePunct w:val="0"/>
        <w:autoSpaceDE/>
        <w:autoSpaceDN/>
        <w:bidi w:val="0"/>
        <w:adjustRightInd/>
        <w:spacing w:line="440" w:lineRule="exact"/>
        <w:ind w:firstLine="482" w:firstLineChars="200"/>
        <w:rPr>
          <w:rFonts w:hint="eastAsia" w:ascii="宋体" w:hAnsi="宋体" w:cs="宋体"/>
          <w:b w:val="0"/>
          <w:bCs/>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2、等级保护测评内容</w:t>
      </w:r>
      <w:r>
        <w:rPr>
          <w:rFonts w:hint="eastAsia" w:ascii="宋体" w:hAnsi="宋体" w:cs="宋体"/>
          <w:b/>
          <w:color w:val="auto"/>
          <w:kern w:val="2"/>
          <w:sz w:val="24"/>
          <w:szCs w:val="24"/>
          <w:highlight w:val="none"/>
          <w:lang w:val="en-US" w:eastAsia="zh-CN" w:bidi="ar-SA"/>
        </w:rPr>
        <w:t>：</w:t>
      </w:r>
      <w:r>
        <w:rPr>
          <w:rFonts w:hint="eastAsia" w:ascii="宋体" w:hAnsi="宋体" w:cs="宋体"/>
          <w:b w:val="0"/>
          <w:bCs/>
          <w:color w:val="auto"/>
          <w:kern w:val="2"/>
          <w:sz w:val="24"/>
          <w:szCs w:val="24"/>
          <w:highlight w:val="none"/>
          <w:lang w:val="en-US" w:eastAsia="zh-CN" w:bidi="ar-SA"/>
        </w:rPr>
        <w:t>根据国家等级保护相关标准，本次项目的网络安全等级保护测评应包括以下内容：</w:t>
      </w:r>
    </w:p>
    <w:p w14:paraId="53C329EF">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sz w:val="24"/>
          <w:szCs w:val="24"/>
          <w:highlight w:val="none"/>
          <w:lang w:val="en-US" w:eastAsia="zh-CN"/>
        </w:rPr>
        <w:t>①</w:t>
      </w:r>
      <w:r>
        <w:rPr>
          <w:rFonts w:hint="eastAsia" w:ascii="宋体" w:hAnsi="宋体" w:cs="宋体"/>
          <w:b w:val="0"/>
          <w:bCs/>
          <w:color w:val="auto"/>
          <w:kern w:val="2"/>
          <w:sz w:val="24"/>
          <w:szCs w:val="24"/>
          <w:highlight w:val="none"/>
          <w:lang w:val="en-US" w:eastAsia="zh-CN" w:bidi="ar-SA"/>
        </w:rPr>
        <w:t>安全技术测评：包括安全物理环境、安全通信网络、安全区域边界、安全计算环境、安全管理中心等五个方面的安全测评；</w:t>
      </w:r>
    </w:p>
    <w:p w14:paraId="1A6014F1">
      <w:pPr>
        <w:keepNext w:val="0"/>
        <w:keepLines w:val="0"/>
        <w:pageBreakBefore w:val="0"/>
        <w:kinsoku/>
        <w:wordWrap/>
        <w:overflowPunct/>
        <w:topLinePunct w:val="0"/>
        <w:autoSpaceDE/>
        <w:autoSpaceDN/>
        <w:bidi w:val="0"/>
        <w:adjustRightInd/>
        <w:spacing w:line="440" w:lineRule="exact"/>
        <w:ind w:firstLine="480" w:firstLineChars="200"/>
        <w:rPr>
          <w:rFonts w:hint="eastAsia" w:ascii="宋体" w:hAnsi="宋体" w:cs="宋体"/>
          <w:b w:val="0"/>
          <w:bCs/>
          <w:color w:val="auto"/>
          <w:kern w:val="2"/>
          <w:sz w:val="24"/>
          <w:szCs w:val="24"/>
          <w:highlight w:val="none"/>
          <w:lang w:val="en-US" w:eastAsia="zh-CN" w:bidi="ar-SA"/>
        </w:rPr>
      </w:pPr>
      <w:r>
        <w:rPr>
          <w:rFonts w:hint="eastAsia" w:ascii="宋体" w:hAnsi="宋体" w:cs="宋体"/>
          <w:b w:val="0"/>
          <w:bCs/>
          <w:color w:val="auto"/>
          <w:sz w:val="24"/>
          <w:szCs w:val="24"/>
          <w:highlight w:val="none"/>
          <w:lang w:val="en-US" w:eastAsia="zh-CN"/>
        </w:rPr>
        <w:t>②</w:t>
      </w:r>
      <w:r>
        <w:rPr>
          <w:rFonts w:hint="eastAsia" w:ascii="宋体" w:hAnsi="宋体" w:cs="宋体"/>
          <w:b w:val="0"/>
          <w:bCs/>
          <w:color w:val="auto"/>
          <w:kern w:val="2"/>
          <w:sz w:val="24"/>
          <w:szCs w:val="24"/>
          <w:highlight w:val="none"/>
          <w:lang w:val="en-US" w:eastAsia="zh-CN" w:bidi="ar-SA"/>
        </w:rPr>
        <w:t>安全管理测评：包括安全管理制度、安全管理机构、安全管理人员、安全建设管理和安全运维管理等五个方面的安全测评。</w:t>
      </w:r>
    </w:p>
    <w:p w14:paraId="4A7CE2EE">
      <w:pPr>
        <w:keepNext w:val="0"/>
        <w:keepLines w:val="0"/>
        <w:pageBreakBefore w:val="0"/>
        <w:kinsoku/>
        <w:wordWrap/>
        <w:overflowPunct/>
        <w:topLinePunct w:val="0"/>
        <w:autoSpaceDE/>
        <w:autoSpaceDN/>
        <w:bidi w:val="0"/>
        <w:adjustRightInd/>
        <w:spacing w:line="440" w:lineRule="exact"/>
        <w:ind w:firstLine="482" w:firstLineChars="200"/>
        <w:rPr>
          <w:rFonts w:hint="default" w:ascii="宋体" w:hAnsi="宋体" w:eastAsia="宋体" w:cs="宋体"/>
          <w:b w:val="0"/>
          <w:bCs/>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3、人员配备</w:t>
      </w:r>
      <w:r>
        <w:rPr>
          <w:rFonts w:hint="eastAsia" w:ascii="宋体" w:hAnsi="宋体" w:cs="宋体"/>
          <w:b/>
          <w:color w:val="auto"/>
          <w:kern w:val="2"/>
          <w:sz w:val="24"/>
          <w:szCs w:val="24"/>
          <w:highlight w:val="none"/>
          <w:lang w:val="en-US" w:eastAsia="zh-CN" w:bidi="ar-SA"/>
        </w:rPr>
        <w:t>：</w:t>
      </w:r>
      <w:r>
        <w:rPr>
          <w:rFonts w:hint="eastAsia" w:ascii="宋体" w:hAnsi="宋体" w:cs="宋体"/>
          <w:b w:val="0"/>
          <w:bCs/>
          <w:color w:val="auto"/>
          <w:kern w:val="2"/>
          <w:sz w:val="24"/>
          <w:szCs w:val="24"/>
          <w:highlight w:val="none"/>
          <w:lang w:val="en-US" w:eastAsia="zh-CN" w:bidi="ar-SA"/>
        </w:rPr>
        <w:t>在项目实施过程中，成交人应成立等级保护测评小组，安排不少于4人（至少包括1名高级测评师、1名中级测评师）提供驻场服务，主要技术人员必须是全职。安全服务团队在合同约定期内派驻采购人到指定地点办公，未经采购人许可，工作人员不得随意更换。</w:t>
      </w:r>
    </w:p>
    <w:p w14:paraId="3E4C64B0">
      <w:pPr>
        <w:keepNext w:val="0"/>
        <w:keepLines w:val="0"/>
        <w:pageBreakBefore w:val="0"/>
        <w:kinsoku/>
        <w:wordWrap/>
        <w:overflowPunct/>
        <w:topLinePunct w:val="0"/>
        <w:autoSpaceDE/>
        <w:autoSpaceDN/>
        <w:bidi w:val="0"/>
        <w:adjustRightInd/>
        <w:spacing w:line="440" w:lineRule="exact"/>
        <w:ind w:firstLine="482" w:firstLineChars="200"/>
        <w:rPr>
          <w:rFonts w:hint="default"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4、验收标准：</w:t>
      </w:r>
      <w:r>
        <w:rPr>
          <w:rFonts w:hint="eastAsia" w:ascii="宋体" w:hAnsi="宋体" w:cs="宋体"/>
          <w:b w:val="0"/>
          <w:bCs w:val="0"/>
          <w:color w:val="auto"/>
          <w:kern w:val="0"/>
          <w:sz w:val="24"/>
          <w:szCs w:val="24"/>
          <w:highlight w:val="none"/>
          <w:lang w:val="en-US" w:eastAsia="zh-CN" w:bidi="ar-SA"/>
        </w:rPr>
        <w:t>成交人按等保要求完成规定工作内容，提供相关过程文档，出具符合等保2.0标准标准要求的测评报告</w:t>
      </w:r>
      <w:r>
        <w:rPr>
          <w:rFonts w:hint="eastAsia" w:ascii="宋体" w:hAnsi="宋体" w:eastAsia="宋体" w:cs="宋体"/>
          <w:b w:val="0"/>
          <w:bCs w:val="0"/>
          <w:color w:val="auto"/>
          <w:kern w:val="0"/>
          <w:sz w:val="24"/>
          <w:szCs w:val="24"/>
          <w:highlight w:val="none"/>
          <w:lang w:val="en-US" w:eastAsia="zh-CN" w:bidi="ar-SA"/>
        </w:rPr>
        <w:t>。</w:t>
      </w:r>
    </w:p>
    <w:p w14:paraId="017CE766">
      <w:pPr>
        <w:keepNext w:val="0"/>
        <w:keepLines w:val="0"/>
        <w:pageBreakBefore w:val="0"/>
        <w:widowControl/>
        <w:kinsoku/>
        <w:wordWrap/>
        <w:overflowPunct/>
        <w:topLinePunct w:val="0"/>
        <w:autoSpaceDE/>
        <w:autoSpaceDN/>
        <w:bidi w:val="0"/>
        <w:adjustRightInd/>
        <w:spacing w:line="44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3"/>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3"/>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cs="宋体"/>
          <w:b w:val="0"/>
          <w:bCs w:val="0"/>
          <w:color w:val="auto"/>
          <w:kern w:val="0"/>
          <w:sz w:val="24"/>
          <w:szCs w:val="24"/>
          <w:highlight w:val="none"/>
          <w:lang w:val="en-US" w:eastAsia="zh-CN"/>
        </w:rPr>
        <w:t>7日内完成</w:t>
      </w:r>
      <w:r>
        <w:rPr>
          <w:rFonts w:hint="eastAsia" w:ascii="宋体" w:hAnsi="宋体" w:cs="宋体"/>
          <w:b w:val="0"/>
          <w:bCs/>
          <w:color w:val="auto"/>
          <w:sz w:val="24"/>
          <w:szCs w:val="24"/>
          <w:highlight w:val="none"/>
          <w:lang w:val="en-US" w:eastAsia="zh-CN"/>
        </w:rPr>
        <w:t>等保测评并出具合格的测评报告</w:t>
      </w:r>
      <w:r>
        <w:rPr>
          <w:rFonts w:hint="eastAsia" w:ascii="宋体" w:hAnsi="宋体" w:cs="宋体"/>
          <w:b w:val="0"/>
          <w:bCs w:val="0"/>
          <w:color w:val="auto"/>
          <w:kern w:val="0"/>
          <w:sz w:val="24"/>
          <w:szCs w:val="24"/>
          <w:highlight w:val="none"/>
          <w:lang w:val="en-US" w:eastAsia="zh-CN"/>
        </w:rPr>
        <w:t>（成交</w:t>
      </w:r>
      <w:r>
        <w:rPr>
          <w:rFonts w:hint="default" w:ascii="宋体" w:hAnsi="宋体" w:eastAsia="宋体" w:cs="宋体"/>
          <w:b w:val="0"/>
          <w:bCs w:val="0"/>
          <w:color w:val="auto"/>
          <w:kern w:val="0"/>
          <w:sz w:val="24"/>
          <w:szCs w:val="24"/>
          <w:highlight w:val="none"/>
          <w:lang w:val="en-US" w:eastAsia="zh-CN"/>
        </w:rPr>
        <w:t>人于合同签订当</w:t>
      </w:r>
      <w:r>
        <w:rPr>
          <w:rFonts w:hint="eastAsia" w:ascii="宋体" w:hAnsi="宋体" w:cs="宋体"/>
          <w:b w:val="0"/>
          <w:bCs w:val="0"/>
          <w:color w:val="auto"/>
          <w:kern w:val="0"/>
          <w:sz w:val="24"/>
          <w:szCs w:val="24"/>
          <w:highlight w:val="none"/>
          <w:lang w:val="en-US" w:eastAsia="zh-CN"/>
        </w:rPr>
        <w:t>日</w:t>
      </w:r>
      <w:r>
        <w:rPr>
          <w:rFonts w:hint="default" w:ascii="宋体" w:hAnsi="宋体" w:eastAsia="宋体" w:cs="宋体"/>
          <w:b w:val="0"/>
          <w:bCs w:val="0"/>
          <w:color w:val="auto"/>
          <w:kern w:val="0"/>
          <w:sz w:val="24"/>
          <w:szCs w:val="24"/>
          <w:highlight w:val="none"/>
          <w:lang w:val="en-US" w:eastAsia="zh-CN"/>
        </w:rPr>
        <w:t>开展测评工作，</w:t>
      </w:r>
      <w:r>
        <w:rPr>
          <w:rFonts w:hint="eastAsia" w:ascii="宋体" w:hAnsi="宋体" w:cs="宋体"/>
          <w:b w:val="0"/>
          <w:bCs w:val="0"/>
          <w:color w:val="auto"/>
          <w:kern w:val="0"/>
          <w:sz w:val="24"/>
          <w:szCs w:val="24"/>
          <w:highlight w:val="none"/>
          <w:lang w:val="en-US" w:eastAsia="zh-CN"/>
        </w:rPr>
        <w:t>成交人</w:t>
      </w:r>
      <w:r>
        <w:rPr>
          <w:rFonts w:hint="default" w:ascii="宋体" w:hAnsi="宋体" w:eastAsia="宋体" w:cs="宋体"/>
          <w:b w:val="0"/>
          <w:bCs w:val="0"/>
          <w:color w:val="auto"/>
          <w:kern w:val="0"/>
          <w:sz w:val="24"/>
          <w:szCs w:val="24"/>
          <w:highlight w:val="none"/>
          <w:lang w:val="en-US" w:eastAsia="zh-CN"/>
        </w:rPr>
        <w:t>进场测评后，3</w:t>
      </w:r>
      <w:r>
        <w:rPr>
          <w:rFonts w:hint="eastAsia" w:ascii="宋体" w:hAnsi="宋体" w:cs="宋体"/>
          <w:b w:val="0"/>
          <w:bCs w:val="0"/>
          <w:color w:val="auto"/>
          <w:kern w:val="0"/>
          <w:sz w:val="24"/>
          <w:szCs w:val="24"/>
          <w:highlight w:val="none"/>
          <w:lang w:val="en-US" w:eastAsia="zh-CN"/>
        </w:rPr>
        <w:t>日内</w:t>
      </w:r>
      <w:r>
        <w:rPr>
          <w:rFonts w:hint="default" w:ascii="宋体" w:hAnsi="宋体" w:eastAsia="宋体" w:cs="宋体"/>
          <w:b w:val="0"/>
          <w:bCs w:val="0"/>
          <w:color w:val="auto"/>
          <w:kern w:val="0"/>
          <w:sz w:val="24"/>
          <w:szCs w:val="24"/>
          <w:highlight w:val="none"/>
          <w:lang w:val="en-US" w:eastAsia="zh-CN"/>
        </w:rPr>
        <w:t>出具整改建议</w:t>
      </w:r>
      <w:r>
        <w:rPr>
          <w:rFonts w:hint="eastAsia" w:ascii="宋体" w:hAnsi="宋体" w:cs="宋体"/>
          <w:b w:val="0"/>
          <w:bCs w:val="0"/>
          <w:color w:val="auto"/>
          <w:kern w:val="0"/>
          <w:sz w:val="24"/>
          <w:szCs w:val="24"/>
          <w:highlight w:val="none"/>
          <w:lang w:val="en-US" w:eastAsia="zh-CN"/>
        </w:rPr>
        <w:t>）。</w:t>
      </w:r>
    </w:p>
    <w:p w14:paraId="56FD805B">
      <w:pPr>
        <w:pStyle w:val="3"/>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经采购人验收合格。</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val="0"/>
          <w:color w:val="auto"/>
          <w:sz w:val="24"/>
          <w:szCs w:val="24"/>
          <w:highlight w:val="none"/>
          <w:lang w:val="en-US" w:eastAsia="zh-CN"/>
        </w:rPr>
        <w:t>成交人出具的《测评报告》经采购人验收合格后，成交供应商提交付款申请</w:t>
      </w:r>
      <w:r>
        <w:rPr>
          <w:rFonts w:hint="eastAsia" w:ascii="宋体" w:hAnsi="宋体" w:eastAsia="宋体" w:cs="宋体"/>
          <w:b w:val="0"/>
          <w:bCs w:val="0"/>
          <w:color w:val="auto"/>
          <w:kern w:val="0"/>
          <w:sz w:val="24"/>
          <w:szCs w:val="24"/>
          <w:highlight w:val="none"/>
          <w:lang w:val="en-US" w:eastAsia="zh-CN" w:bidi="ar-SA"/>
        </w:rPr>
        <w:t>，采购人收到</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提交的相关付款申请材料</w:t>
      </w:r>
      <w:r>
        <w:rPr>
          <w:rFonts w:hint="eastAsia" w:ascii="宋体" w:hAnsi="宋体" w:cs="宋体"/>
          <w:b w:val="0"/>
          <w:bCs w:val="0"/>
          <w:color w:val="auto"/>
          <w:kern w:val="0"/>
          <w:sz w:val="24"/>
          <w:szCs w:val="24"/>
          <w:highlight w:val="none"/>
          <w:lang w:val="en-US" w:eastAsia="zh-CN" w:bidi="ar-SA"/>
        </w:rPr>
        <w:t>后10个工作</w:t>
      </w:r>
      <w:r>
        <w:rPr>
          <w:rFonts w:hint="eastAsia" w:ascii="宋体" w:hAnsi="宋体" w:eastAsia="宋体" w:cs="宋体"/>
          <w:b w:val="0"/>
          <w:bCs w:val="0"/>
          <w:color w:val="auto"/>
          <w:kern w:val="0"/>
          <w:sz w:val="24"/>
          <w:szCs w:val="24"/>
          <w:highlight w:val="none"/>
          <w:lang w:val="en-US" w:eastAsia="zh-CN" w:bidi="ar-SA"/>
        </w:rPr>
        <w:t>日内支付合同总金额的100.00%。</w:t>
      </w:r>
    </w:p>
    <w:p w14:paraId="189291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2"/>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8.1因中标人原因造成采购合同无法按时签订，视为中标人违约，中标人违约对采购人</w:t>
      </w:r>
    </w:p>
    <w:p w14:paraId="3A7179BC">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8.2在签订采购合同之后，中标人要求解除合同的，视为中标人违约，对采购人造成的</w:t>
      </w:r>
    </w:p>
    <w:p w14:paraId="5CD25D4E">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损失的，中标人需支付相应的赔偿，采购人有权单方面解除合同。</w:t>
      </w:r>
    </w:p>
    <w:p w14:paraId="599DF0A0">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8.3因中标人原因发生重大质量事故，除依约承担赔偿责任外，还将按有关质量管理办</w:t>
      </w:r>
    </w:p>
    <w:p w14:paraId="1C7DDF96">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法规定执行。同时，采购人有权保留更换中标人的权利，并报相关行政主管部门处罚。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在明确违约责任后，中标人应在接到书面通知书起七天内支付违约金、赔偿金等。</w:t>
      </w:r>
    </w:p>
    <w:p w14:paraId="26E8123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5D21173D">
      <w:pPr>
        <w:widowControl/>
        <w:spacing w:line="360" w:lineRule="auto"/>
        <w:jc w:val="center"/>
        <w:rPr>
          <w:rFonts w:hint="eastAsia" w:ascii="宋体" w:hAnsi="宋体"/>
          <w:b/>
          <w:bCs/>
          <w:color w:val="auto"/>
          <w:sz w:val="36"/>
          <w:szCs w:val="36"/>
          <w:highlight w:val="none"/>
        </w:rPr>
      </w:pPr>
    </w:p>
    <w:p w14:paraId="5326554D">
      <w:pPr>
        <w:pStyle w:val="2"/>
        <w:rPr>
          <w:rFonts w:hint="eastAsia" w:ascii="宋体" w:hAnsi="宋体"/>
          <w:b/>
          <w:bCs/>
          <w:color w:val="auto"/>
          <w:sz w:val="36"/>
          <w:szCs w:val="36"/>
          <w:highlight w:val="none"/>
        </w:rPr>
      </w:pPr>
    </w:p>
    <w:p w14:paraId="4D47ABDA">
      <w:pPr>
        <w:pStyle w:val="2"/>
        <w:rPr>
          <w:rFonts w:hint="eastAsia" w:ascii="宋体" w:hAnsi="宋体"/>
          <w:b/>
          <w:bCs/>
          <w:color w:val="auto"/>
          <w:sz w:val="36"/>
          <w:szCs w:val="36"/>
          <w:highlight w:val="none"/>
        </w:rPr>
      </w:pPr>
    </w:p>
    <w:p w14:paraId="766ECA50">
      <w:pPr>
        <w:pStyle w:val="2"/>
        <w:rPr>
          <w:rFonts w:hint="eastAsia" w:ascii="宋体" w:hAnsi="宋体"/>
          <w:b/>
          <w:bCs/>
          <w:color w:val="auto"/>
          <w:sz w:val="36"/>
          <w:szCs w:val="36"/>
          <w:highlight w:val="none"/>
        </w:rPr>
      </w:pPr>
    </w:p>
    <w:p w14:paraId="308A37CC">
      <w:pPr>
        <w:pStyle w:val="2"/>
        <w:rPr>
          <w:rFonts w:hint="eastAsia" w:ascii="宋体" w:hAnsi="宋体"/>
          <w:b/>
          <w:bCs/>
          <w:color w:val="auto"/>
          <w:sz w:val="36"/>
          <w:szCs w:val="36"/>
          <w:highlight w:val="none"/>
        </w:rPr>
      </w:pPr>
    </w:p>
    <w:p w14:paraId="113437D2">
      <w:pPr>
        <w:pStyle w:val="2"/>
        <w:rPr>
          <w:rFonts w:hint="eastAsia" w:ascii="宋体" w:hAnsi="宋体"/>
          <w:b/>
          <w:bCs/>
          <w:color w:val="auto"/>
          <w:sz w:val="36"/>
          <w:szCs w:val="36"/>
          <w:highlight w:val="none"/>
        </w:rPr>
      </w:pPr>
    </w:p>
    <w:p w14:paraId="2DBD1337">
      <w:pPr>
        <w:pStyle w:val="2"/>
        <w:rPr>
          <w:rFonts w:hint="eastAsia" w:ascii="宋体" w:hAnsi="宋体"/>
          <w:b/>
          <w:bCs/>
          <w:color w:val="auto"/>
          <w:sz w:val="36"/>
          <w:szCs w:val="36"/>
          <w:highlight w:val="none"/>
        </w:rPr>
      </w:pPr>
    </w:p>
    <w:p w14:paraId="360EBA5C">
      <w:pPr>
        <w:pStyle w:val="2"/>
        <w:rPr>
          <w:rFonts w:hint="eastAsia" w:ascii="宋体" w:hAnsi="宋体"/>
          <w:b/>
          <w:bCs/>
          <w:color w:val="auto"/>
          <w:sz w:val="36"/>
          <w:szCs w:val="36"/>
          <w:highlight w:val="none"/>
        </w:rPr>
      </w:pPr>
    </w:p>
    <w:p w14:paraId="0FBA8D82">
      <w:pPr>
        <w:pStyle w:val="2"/>
        <w:rPr>
          <w:rFonts w:hint="eastAsia" w:ascii="宋体" w:hAnsi="宋体"/>
          <w:b/>
          <w:bCs/>
          <w:color w:val="auto"/>
          <w:sz w:val="36"/>
          <w:szCs w:val="36"/>
          <w:highlight w:val="none"/>
        </w:rPr>
      </w:pPr>
    </w:p>
    <w:p w14:paraId="24F26562">
      <w:pPr>
        <w:pStyle w:val="2"/>
        <w:rPr>
          <w:rFonts w:hint="eastAsia" w:ascii="宋体" w:hAnsi="宋体"/>
          <w:b/>
          <w:bCs/>
          <w:color w:val="auto"/>
          <w:sz w:val="36"/>
          <w:szCs w:val="36"/>
          <w:highlight w:val="none"/>
        </w:rPr>
      </w:pPr>
    </w:p>
    <w:p w14:paraId="7B8067C7">
      <w:pPr>
        <w:pStyle w:val="2"/>
        <w:rPr>
          <w:rFonts w:hint="eastAsia" w:ascii="宋体" w:hAnsi="宋体"/>
          <w:b/>
          <w:bCs/>
          <w:color w:val="auto"/>
          <w:sz w:val="36"/>
          <w:szCs w:val="36"/>
          <w:highlight w:val="none"/>
        </w:rPr>
      </w:pPr>
    </w:p>
    <w:p w14:paraId="087B2679">
      <w:pPr>
        <w:pStyle w:val="2"/>
        <w:rPr>
          <w:rFonts w:hint="eastAsia" w:ascii="宋体" w:hAnsi="宋体"/>
          <w:b/>
          <w:bCs/>
          <w:color w:val="auto"/>
          <w:sz w:val="36"/>
          <w:szCs w:val="36"/>
          <w:highlight w:val="none"/>
        </w:rPr>
      </w:pPr>
    </w:p>
    <w:p w14:paraId="0855B416">
      <w:pPr>
        <w:pStyle w:val="2"/>
        <w:rPr>
          <w:rFonts w:hint="eastAsia" w:ascii="宋体" w:hAnsi="宋体"/>
          <w:b/>
          <w:bCs/>
          <w:color w:val="auto"/>
          <w:sz w:val="36"/>
          <w:szCs w:val="36"/>
          <w:highlight w:val="none"/>
        </w:rPr>
      </w:pPr>
    </w:p>
    <w:p w14:paraId="55B326CD">
      <w:pPr>
        <w:pStyle w:val="2"/>
        <w:rPr>
          <w:rFonts w:hint="eastAsia" w:ascii="宋体" w:hAnsi="宋体"/>
          <w:b/>
          <w:bCs/>
          <w:color w:val="auto"/>
          <w:sz w:val="36"/>
          <w:szCs w:val="36"/>
          <w:highlight w:val="none"/>
        </w:rPr>
      </w:pPr>
    </w:p>
    <w:p w14:paraId="46B79C6B">
      <w:pPr>
        <w:pStyle w:val="2"/>
        <w:rPr>
          <w:rFonts w:hint="eastAsia" w:ascii="宋体" w:hAnsi="宋体"/>
          <w:b/>
          <w:bCs/>
          <w:color w:val="auto"/>
          <w:sz w:val="36"/>
          <w:szCs w:val="36"/>
          <w:highlight w:val="none"/>
        </w:rPr>
      </w:pPr>
    </w:p>
    <w:p w14:paraId="5948AC7B">
      <w:pPr>
        <w:pStyle w:val="2"/>
        <w:rPr>
          <w:rFonts w:hint="eastAsia" w:ascii="宋体" w:hAnsi="宋体"/>
          <w:b/>
          <w:bCs/>
          <w:color w:val="auto"/>
          <w:sz w:val="36"/>
          <w:szCs w:val="36"/>
          <w:highlight w:val="none"/>
        </w:rPr>
      </w:pPr>
    </w:p>
    <w:p w14:paraId="060253DD">
      <w:pPr>
        <w:pStyle w:val="2"/>
        <w:rPr>
          <w:rFonts w:hint="eastAsia" w:ascii="宋体" w:hAnsi="宋体"/>
          <w:b/>
          <w:bCs/>
          <w:color w:val="auto"/>
          <w:sz w:val="36"/>
          <w:szCs w:val="36"/>
          <w:highlight w:val="none"/>
        </w:rPr>
      </w:pPr>
    </w:p>
    <w:p w14:paraId="1E5CC538">
      <w:pPr>
        <w:pStyle w:val="2"/>
        <w:rPr>
          <w:rFonts w:hint="eastAsia" w:ascii="宋体" w:hAnsi="宋体"/>
          <w:b/>
          <w:bCs/>
          <w:color w:val="auto"/>
          <w:sz w:val="36"/>
          <w:szCs w:val="36"/>
          <w:highlight w:val="none"/>
        </w:rPr>
      </w:pPr>
    </w:p>
    <w:p w14:paraId="62F1137D">
      <w:pPr>
        <w:pStyle w:val="2"/>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5"/>
        <w:spacing w:line="360" w:lineRule="auto"/>
        <w:rPr>
          <w:color w:val="auto"/>
          <w:highlight w:val="none"/>
        </w:rPr>
      </w:pPr>
    </w:p>
    <w:p w14:paraId="1C9B7D09">
      <w:pPr>
        <w:spacing w:line="360" w:lineRule="auto"/>
        <w:rPr>
          <w:color w:val="auto"/>
          <w:highlight w:val="none"/>
        </w:rPr>
      </w:pPr>
    </w:p>
    <w:p w14:paraId="6800853C">
      <w:pPr>
        <w:pStyle w:val="5"/>
        <w:spacing w:line="360" w:lineRule="auto"/>
        <w:rPr>
          <w:color w:val="auto"/>
          <w:highlight w:val="none"/>
        </w:rPr>
      </w:pPr>
    </w:p>
    <w:p w14:paraId="5A7E61FF">
      <w:pPr>
        <w:spacing w:line="360" w:lineRule="auto"/>
        <w:rPr>
          <w:color w:val="auto"/>
          <w:highlight w:val="none"/>
        </w:rPr>
      </w:pPr>
    </w:p>
    <w:p w14:paraId="41E83152">
      <w:pPr>
        <w:pStyle w:val="6"/>
        <w:spacing w:line="360" w:lineRule="auto"/>
        <w:rPr>
          <w:rFonts w:hint="default"/>
          <w:color w:val="auto"/>
          <w:highlight w:val="none"/>
        </w:rPr>
      </w:pPr>
    </w:p>
    <w:p w14:paraId="55C069FF">
      <w:pPr>
        <w:spacing w:line="360" w:lineRule="auto"/>
        <w:rPr>
          <w:color w:val="auto"/>
          <w:highlight w:val="none"/>
        </w:rPr>
      </w:pPr>
    </w:p>
    <w:p w14:paraId="20368753">
      <w:pPr>
        <w:pStyle w:val="6"/>
        <w:spacing w:line="360" w:lineRule="auto"/>
        <w:rPr>
          <w:rFonts w:hint="default"/>
          <w:color w:val="auto"/>
          <w:highlight w:val="none"/>
        </w:rPr>
      </w:pPr>
    </w:p>
    <w:p w14:paraId="2507E28E">
      <w:pPr>
        <w:spacing w:line="360" w:lineRule="auto"/>
        <w:rPr>
          <w:color w:val="auto"/>
          <w:highlight w:val="none"/>
        </w:rPr>
      </w:pPr>
    </w:p>
    <w:p w14:paraId="68F7C44C">
      <w:pPr>
        <w:pStyle w:val="6"/>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7"/>
        <w:spacing w:line="360" w:lineRule="auto"/>
        <w:rPr>
          <w:color w:val="auto"/>
          <w:highlight w:val="none"/>
        </w:rPr>
      </w:pPr>
    </w:p>
    <w:p w14:paraId="3FC45419">
      <w:pPr>
        <w:pStyle w:val="3"/>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5"/>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6"/>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6"/>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5"/>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3"/>
        <w:spacing w:line="360" w:lineRule="auto"/>
        <w:ind w:left="0" w:leftChars="0"/>
        <w:rPr>
          <w:rFonts w:ascii="宋体" w:hAnsi="宋体" w:cs="宋体"/>
          <w:color w:val="auto"/>
          <w:sz w:val="24"/>
          <w:highlight w:val="none"/>
        </w:rPr>
      </w:pPr>
    </w:p>
    <w:p w14:paraId="1119D3D2">
      <w:pPr>
        <w:pStyle w:val="15"/>
        <w:spacing w:line="360" w:lineRule="auto"/>
        <w:rPr>
          <w:rFonts w:ascii="宋体" w:hAnsi="宋体" w:cs="宋体"/>
          <w:color w:val="auto"/>
          <w:sz w:val="24"/>
          <w:highlight w:val="none"/>
        </w:rPr>
      </w:pPr>
    </w:p>
    <w:p w14:paraId="5321318A">
      <w:pPr>
        <w:pStyle w:val="15"/>
        <w:spacing w:line="360" w:lineRule="auto"/>
        <w:rPr>
          <w:rFonts w:ascii="宋体" w:hAnsi="宋体" w:cs="宋体"/>
          <w:color w:val="auto"/>
          <w:sz w:val="24"/>
          <w:highlight w:val="none"/>
        </w:rPr>
      </w:pPr>
    </w:p>
    <w:p w14:paraId="3C82014B">
      <w:pPr>
        <w:pStyle w:val="15"/>
        <w:spacing w:line="360" w:lineRule="auto"/>
        <w:rPr>
          <w:rFonts w:ascii="宋体" w:hAnsi="宋体" w:cs="宋体"/>
          <w:color w:val="auto"/>
          <w:sz w:val="24"/>
          <w:highlight w:val="none"/>
        </w:rPr>
      </w:pPr>
    </w:p>
    <w:p w14:paraId="3726D4AE">
      <w:pPr>
        <w:pStyle w:val="15"/>
        <w:spacing w:line="360" w:lineRule="auto"/>
        <w:rPr>
          <w:rFonts w:ascii="宋体" w:hAnsi="宋体" w:cs="宋体"/>
          <w:color w:val="auto"/>
          <w:sz w:val="24"/>
          <w:highlight w:val="none"/>
        </w:rPr>
      </w:pPr>
    </w:p>
    <w:p w14:paraId="0F16B34A">
      <w:pPr>
        <w:pStyle w:val="15"/>
        <w:spacing w:line="360" w:lineRule="auto"/>
        <w:rPr>
          <w:rFonts w:ascii="宋体" w:hAnsi="宋体" w:cs="宋体"/>
          <w:color w:val="auto"/>
          <w:sz w:val="24"/>
          <w:highlight w:val="none"/>
        </w:rPr>
      </w:pPr>
    </w:p>
    <w:p w14:paraId="73F56BF6">
      <w:pPr>
        <w:pStyle w:val="15"/>
        <w:spacing w:line="360" w:lineRule="auto"/>
        <w:rPr>
          <w:rFonts w:ascii="宋体" w:hAnsi="宋体" w:cs="宋体"/>
          <w:color w:val="auto"/>
          <w:sz w:val="24"/>
          <w:highlight w:val="none"/>
        </w:rPr>
      </w:pPr>
    </w:p>
    <w:p w14:paraId="61FA2276">
      <w:pPr>
        <w:pStyle w:val="15"/>
        <w:spacing w:line="360" w:lineRule="auto"/>
        <w:rPr>
          <w:rFonts w:ascii="宋体" w:hAnsi="宋体" w:cs="宋体"/>
          <w:color w:val="auto"/>
          <w:sz w:val="24"/>
          <w:highlight w:val="none"/>
        </w:rPr>
      </w:pPr>
    </w:p>
    <w:p w14:paraId="468F1230">
      <w:pPr>
        <w:pStyle w:val="15"/>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3"/>
        <w:spacing w:line="360" w:lineRule="auto"/>
        <w:ind w:left="0" w:leftChars="0"/>
        <w:rPr>
          <w:rFonts w:ascii="宋体" w:hAnsi="宋体" w:cs="宋体"/>
          <w:b/>
          <w:bCs/>
          <w:color w:val="auto"/>
          <w:sz w:val="28"/>
          <w:szCs w:val="28"/>
          <w:highlight w:val="none"/>
        </w:rPr>
      </w:pPr>
    </w:p>
    <w:p w14:paraId="2C71186F">
      <w:pPr>
        <w:pStyle w:val="15"/>
        <w:spacing w:line="360" w:lineRule="auto"/>
        <w:rPr>
          <w:rFonts w:ascii="宋体" w:hAnsi="宋体" w:cs="宋体"/>
          <w:b/>
          <w:bCs/>
          <w:color w:val="auto"/>
          <w:sz w:val="28"/>
          <w:szCs w:val="28"/>
          <w:highlight w:val="none"/>
        </w:rPr>
      </w:pPr>
    </w:p>
    <w:p w14:paraId="0776CC2D">
      <w:pPr>
        <w:pStyle w:val="15"/>
        <w:spacing w:line="360" w:lineRule="auto"/>
        <w:rPr>
          <w:rFonts w:ascii="宋体" w:hAnsi="宋体" w:cs="宋体"/>
          <w:b/>
          <w:bCs/>
          <w:color w:val="auto"/>
          <w:sz w:val="28"/>
          <w:szCs w:val="28"/>
          <w:highlight w:val="none"/>
        </w:rPr>
      </w:pPr>
    </w:p>
    <w:p w14:paraId="79EF7A83">
      <w:pPr>
        <w:pStyle w:val="3"/>
        <w:spacing w:line="360" w:lineRule="auto"/>
        <w:ind w:left="0" w:leftChars="0"/>
        <w:rPr>
          <w:rFonts w:ascii="宋体" w:hAnsi="宋体" w:cs="宋体"/>
          <w:b/>
          <w:bCs/>
          <w:color w:val="auto"/>
          <w:sz w:val="28"/>
          <w:szCs w:val="28"/>
          <w:highlight w:val="none"/>
        </w:rPr>
      </w:pPr>
    </w:p>
    <w:p w14:paraId="06B2F9FD">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5"/>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5"/>
        <w:spacing w:line="360" w:lineRule="auto"/>
        <w:rPr>
          <w:rFonts w:ascii="宋体" w:hAnsi="宋体" w:cs="宋体"/>
          <w:b/>
          <w:bCs/>
          <w:color w:val="auto"/>
          <w:sz w:val="28"/>
          <w:szCs w:val="28"/>
          <w:highlight w:val="none"/>
        </w:rPr>
      </w:pPr>
    </w:p>
    <w:p w14:paraId="31F6CFBA">
      <w:pPr>
        <w:pStyle w:val="3"/>
        <w:spacing w:line="360" w:lineRule="auto"/>
        <w:ind w:left="0" w:leftChars="0"/>
        <w:jc w:val="center"/>
        <w:rPr>
          <w:rFonts w:ascii="宋体" w:hAnsi="宋体" w:cs="宋体"/>
          <w:b/>
          <w:bCs/>
          <w:color w:val="auto"/>
          <w:sz w:val="28"/>
          <w:szCs w:val="28"/>
          <w:highlight w:val="none"/>
        </w:rPr>
      </w:pPr>
    </w:p>
    <w:p w14:paraId="37897154">
      <w:pPr>
        <w:pStyle w:val="3"/>
        <w:spacing w:line="360" w:lineRule="auto"/>
        <w:ind w:left="0" w:leftChars="0"/>
        <w:jc w:val="center"/>
        <w:rPr>
          <w:rFonts w:ascii="宋体" w:hAnsi="宋体" w:cs="宋体"/>
          <w:b/>
          <w:bCs/>
          <w:color w:val="auto"/>
          <w:sz w:val="28"/>
          <w:szCs w:val="28"/>
          <w:highlight w:val="none"/>
        </w:rPr>
      </w:pPr>
    </w:p>
    <w:p w14:paraId="19D064AE">
      <w:pPr>
        <w:pStyle w:val="3"/>
        <w:spacing w:line="360" w:lineRule="auto"/>
        <w:ind w:left="0" w:leftChars="0"/>
        <w:jc w:val="center"/>
        <w:rPr>
          <w:rFonts w:ascii="宋体" w:hAnsi="宋体" w:cs="宋体"/>
          <w:b/>
          <w:bCs/>
          <w:color w:val="auto"/>
          <w:sz w:val="28"/>
          <w:szCs w:val="28"/>
          <w:highlight w:val="none"/>
        </w:rPr>
      </w:pPr>
    </w:p>
    <w:p w14:paraId="0ED390FA">
      <w:pPr>
        <w:pStyle w:val="3"/>
        <w:spacing w:line="360" w:lineRule="auto"/>
        <w:ind w:left="0" w:leftChars="0"/>
        <w:jc w:val="center"/>
        <w:rPr>
          <w:rFonts w:ascii="宋体" w:hAnsi="宋体" w:cs="宋体"/>
          <w:b/>
          <w:bCs/>
          <w:color w:val="auto"/>
          <w:sz w:val="28"/>
          <w:szCs w:val="28"/>
          <w:highlight w:val="none"/>
        </w:rPr>
      </w:pPr>
    </w:p>
    <w:p w14:paraId="3C84BE07">
      <w:pPr>
        <w:pStyle w:val="3"/>
        <w:spacing w:line="360" w:lineRule="auto"/>
        <w:ind w:left="0" w:leftChars="0"/>
        <w:jc w:val="center"/>
        <w:rPr>
          <w:rFonts w:ascii="宋体" w:hAnsi="宋体" w:cs="宋体"/>
          <w:b/>
          <w:bCs/>
          <w:color w:val="auto"/>
          <w:sz w:val="28"/>
          <w:szCs w:val="28"/>
          <w:highlight w:val="none"/>
        </w:rPr>
      </w:pPr>
    </w:p>
    <w:p w14:paraId="64E4F662">
      <w:pPr>
        <w:pStyle w:val="3"/>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3"/>
        <w:spacing w:line="360" w:lineRule="auto"/>
        <w:ind w:left="0" w:leftChars="0"/>
        <w:jc w:val="center"/>
        <w:rPr>
          <w:rFonts w:ascii="宋体" w:hAnsi="宋体" w:cs="宋体"/>
          <w:b/>
          <w:bCs/>
          <w:color w:val="auto"/>
          <w:sz w:val="28"/>
          <w:szCs w:val="28"/>
          <w:highlight w:val="none"/>
        </w:rPr>
      </w:pPr>
    </w:p>
    <w:p w14:paraId="7CEA87EF">
      <w:pPr>
        <w:pStyle w:val="3"/>
        <w:spacing w:line="360" w:lineRule="auto"/>
        <w:ind w:left="0" w:leftChars="0"/>
        <w:jc w:val="center"/>
        <w:rPr>
          <w:rFonts w:ascii="宋体" w:hAnsi="宋体" w:cs="宋体"/>
          <w:b/>
          <w:bCs/>
          <w:color w:val="auto"/>
          <w:sz w:val="28"/>
          <w:szCs w:val="28"/>
          <w:highlight w:val="none"/>
        </w:rPr>
      </w:pPr>
    </w:p>
    <w:p w14:paraId="331B2308">
      <w:pPr>
        <w:pStyle w:val="3"/>
        <w:spacing w:line="360" w:lineRule="auto"/>
        <w:ind w:left="0" w:leftChars="0"/>
        <w:jc w:val="center"/>
        <w:rPr>
          <w:rFonts w:ascii="宋体" w:hAnsi="宋体" w:cs="宋体"/>
          <w:b/>
          <w:bCs/>
          <w:color w:val="auto"/>
          <w:sz w:val="28"/>
          <w:szCs w:val="28"/>
          <w:highlight w:val="none"/>
        </w:rPr>
      </w:pPr>
    </w:p>
    <w:p w14:paraId="574F2A9B">
      <w:pPr>
        <w:pStyle w:val="3"/>
        <w:spacing w:line="360" w:lineRule="auto"/>
        <w:ind w:left="0" w:leftChars="0"/>
        <w:jc w:val="center"/>
        <w:rPr>
          <w:rFonts w:ascii="宋体" w:hAnsi="宋体" w:cs="宋体"/>
          <w:b/>
          <w:bCs/>
          <w:color w:val="auto"/>
          <w:sz w:val="28"/>
          <w:szCs w:val="28"/>
          <w:highlight w:val="none"/>
        </w:rPr>
      </w:pPr>
    </w:p>
    <w:p w14:paraId="3DB00B56">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5"/>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5"/>
        <w:spacing w:line="360" w:lineRule="auto"/>
        <w:rPr>
          <w:rFonts w:ascii="宋体" w:hAnsi="宋体" w:cs="宋体"/>
          <w:b/>
          <w:bCs/>
          <w:color w:val="auto"/>
          <w:sz w:val="28"/>
          <w:szCs w:val="28"/>
          <w:highlight w:val="none"/>
        </w:rPr>
      </w:pPr>
    </w:p>
    <w:p w14:paraId="22A9EDD9">
      <w:pPr>
        <w:pStyle w:val="15"/>
        <w:spacing w:line="360" w:lineRule="auto"/>
        <w:rPr>
          <w:color w:val="auto"/>
          <w:highlight w:val="none"/>
        </w:rPr>
      </w:pPr>
    </w:p>
    <w:p w14:paraId="01C7C78E">
      <w:pPr>
        <w:pStyle w:val="15"/>
        <w:spacing w:line="360" w:lineRule="auto"/>
        <w:rPr>
          <w:color w:val="auto"/>
          <w:highlight w:val="none"/>
        </w:rPr>
      </w:pPr>
    </w:p>
    <w:p w14:paraId="35556AE7">
      <w:pPr>
        <w:pStyle w:val="15"/>
        <w:spacing w:line="360" w:lineRule="auto"/>
        <w:rPr>
          <w:color w:val="auto"/>
          <w:highlight w:val="none"/>
        </w:rPr>
      </w:pPr>
    </w:p>
    <w:p w14:paraId="4E1A6E85">
      <w:pPr>
        <w:pStyle w:val="15"/>
        <w:spacing w:line="360" w:lineRule="auto"/>
        <w:rPr>
          <w:color w:val="auto"/>
          <w:highlight w:val="none"/>
        </w:rPr>
      </w:pPr>
    </w:p>
    <w:p w14:paraId="46AD2750">
      <w:pPr>
        <w:pStyle w:val="15"/>
        <w:spacing w:line="360" w:lineRule="auto"/>
        <w:rPr>
          <w:color w:val="auto"/>
          <w:highlight w:val="none"/>
        </w:rPr>
      </w:pPr>
    </w:p>
    <w:p w14:paraId="1913FC5F">
      <w:pPr>
        <w:pStyle w:val="15"/>
        <w:spacing w:line="360" w:lineRule="auto"/>
        <w:rPr>
          <w:color w:val="auto"/>
          <w:highlight w:val="none"/>
        </w:rPr>
      </w:pPr>
    </w:p>
    <w:p w14:paraId="61F60254">
      <w:pPr>
        <w:pStyle w:val="15"/>
        <w:spacing w:line="360" w:lineRule="auto"/>
        <w:rPr>
          <w:color w:val="auto"/>
          <w:highlight w:val="none"/>
        </w:rPr>
      </w:pPr>
    </w:p>
    <w:p w14:paraId="02CCF8EF">
      <w:pPr>
        <w:pStyle w:val="15"/>
        <w:spacing w:line="360" w:lineRule="auto"/>
        <w:rPr>
          <w:color w:val="auto"/>
          <w:highlight w:val="none"/>
        </w:rPr>
      </w:pPr>
    </w:p>
    <w:p w14:paraId="40D9D294">
      <w:pPr>
        <w:pStyle w:val="15"/>
        <w:spacing w:line="360" w:lineRule="auto"/>
        <w:rPr>
          <w:color w:val="auto"/>
          <w:highlight w:val="none"/>
        </w:rPr>
      </w:pPr>
    </w:p>
    <w:p w14:paraId="26CFA76D">
      <w:pPr>
        <w:pStyle w:val="15"/>
        <w:spacing w:line="360" w:lineRule="auto"/>
        <w:rPr>
          <w:color w:val="auto"/>
          <w:highlight w:val="none"/>
        </w:rPr>
      </w:pPr>
    </w:p>
    <w:p w14:paraId="6236DE25">
      <w:pPr>
        <w:pStyle w:val="15"/>
        <w:spacing w:line="360" w:lineRule="auto"/>
        <w:rPr>
          <w:color w:val="auto"/>
          <w:highlight w:val="none"/>
        </w:rPr>
      </w:pPr>
    </w:p>
    <w:p w14:paraId="3DC90531">
      <w:pPr>
        <w:pStyle w:val="15"/>
        <w:spacing w:line="360" w:lineRule="auto"/>
        <w:rPr>
          <w:color w:val="auto"/>
          <w:highlight w:val="none"/>
        </w:rPr>
      </w:pPr>
    </w:p>
    <w:p w14:paraId="6810E63F">
      <w:pPr>
        <w:pStyle w:val="15"/>
        <w:spacing w:line="360" w:lineRule="auto"/>
        <w:rPr>
          <w:color w:val="auto"/>
          <w:highlight w:val="none"/>
        </w:rPr>
      </w:pPr>
    </w:p>
    <w:p w14:paraId="2D859747">
      <w:pPr>
        <w:pStyle w:val="15"/>
        <w:spacing w:line="360" w:lineRule="auto"/>
        <w:rPr>
          <w:color w:val="auto"/>
          <w:highlight w:val="none"/>
        </w:rPr>
      </w:pPr>
    </w:p>
    <w:p w14:paraId="1A9B0A73">
      <w:pPr>
        <w:pStyle w:val="15"/>
        <w:spacing w:line="360" w:lineRule="auto"/>
        <w:rPr>
          <w:color w:val="auto"/>
          <w:highlight w:val="none"/>
        </w:rPr>
      </w:pPr>
    </w:p>
    <w:p w14:paraId="09BAEE96">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7"/>
        <w:spacing w:line="360" w:lineRule="auto"/>
        <w:rPr>
          <w:rFonts w:ascii="楷体_GB2312" w:eastAsia="楷体_GB2312"/>
          <w:b/>
          <w:color w:val="auto"/>
          <w:sz w:val="40"/>
          <w:szCs w:val="40"/>
          <w:highlight w:val="none"/>
        </w:rPr>
      </w:pPr>
    </w:p>
    <w:p w14:paraId="5AB94BE7">
      <w:pPr>
        <w:pStyle w:val="3"/>
        <w:spacing w:line="360" w:lineRule="auto"/>
        <w:rPr>
          <w:rFonts w:ascii="楷体_GB2312" w:eastAsia="楷体_GB2312"/>
          <w:b/>
          <w:color w:val="auto"/>
          <w:sz w:val="40"/>
          <w:szCs w:val="40"/>
          <w:highlight w:val="none"/>
        </w:rPr>
      </w:pPr>
    </w:p>
    <w:p w14:paraId="2A9355F0">
      <w:pPr>
        <w:pStyle w:val="7"/>
        <w:spacing w:line="360" w:lineRule="auto"/>
        <w:rPr>
          <w:rFonts w:ascii="楷体_GB2312" w:eastAsia="楷体_GB2312"/>
          <w:b/>
          <w:color w:val="auto"/>
          <w:sz w:val="40"/>
          <w:szCs w:val="40"/>
          <w:highlight w:val="none"/>
        </w:rPr>
      </w:pPr>
    </w:p>
    <w:p w14:paraId="68ED7677">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5"/>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3"/>
        <w:spacing w:line="360" w:lineRule="auto"/>
        <w:rPr>
          <w:rFonts w:ascii="楷体_GB2312" w:eastAsia="楷体_GB2312"/>
          <w:b/>
          <w:color w:val="auto"/>
          <w:sz w:val="44"/>
          <w:szCs w:val="44"/>
          <w:highlight w:val="none"/>
        </w:rPr>
      </w:pPr>
    </w:p>
    <w:p w14:paraId="759833BB">
      <w:pPr>
        <w:pStyle w:val="7"/>
        <w:spacing w:line="360" w:lineRule="auto"/>
        <w:rPr>
          <w:rFonts w:ascii="楷体_GB2312" w:eastAsia="楷体_GB2312"/>
          <w:b/>
          <w:color w:val="auto"/>
          <w:sz w:val="44"/>
          <w:szCs w:val="44"/>
          <w:highlight w:val="none"/>
        </w:rPr>
      </w:pPr>
    </w:p>
    <w:p w14:paraId="798D6749">
      <w:pPr>
        <w:pStyle w:val="3"/>
        <w:spacing w:line="360" w:lineRule="auto"/>
        <w:rPr>
          <w:rFonts w:ascii="楷体_GB2312" w:eastAsia="楷体_GB2312"/>
          <w:b/>
          <w:color w:val="auto"/>
          <w:sz w:val="44"/>
          <w:szCs w:val="44"/>
          <w:highlight w:val="none"/>
        </w:rPr>
      </w:pPr>
    </w:p>
    <w:p w14:paraId="279E5D08">
      <w:pPr>
        <w:pStyle w:val="7"/>
        <w:spacing w:line="360" w:lineRule="auto"/>
        <w:rPr>
          <w:rFonts w:ascii="楷体_GB2312" w:eastAsia="楷体_GB2312"/>
          <w:b/>
          <w:color w:val="auto"/>
          <w:sz w:val="44"/>
          <w:szCs w:val="44"/>
          <w:highlight w:val="none"/>
        </w:rPr>
      </w:pPr>
    </w:p>
    <w:p w14:paraId="10B705AE">
      <w:pPr>
        <w:pStyle w:val="3"/>
        <w:spacing w:line="360" w:lineRule="auto"/>
        <w:rPr>
          <w:rFonts w:ascii="楷体_GB2312" w:eastAsia="楷体_GB2312"/>
          <w:b/>
          <w:color w:val="auto"/>
          <w:sz w:val="44"/>
          <w:szCs w:val="44"/>
          <w:highlight w:val="none"/>
        </w:rPr>
      </w:pPr>
    </w:p>
    <w:p w14:paraId="39C7FEC2">
      <w:pPr>
        <w:pStyle w:val="7"/>
        <w:spacing w:line="360" w:lineRule="auto"/>
        <w:rPr>
          <w:color w:val="auto"/>
          <w:highlight w:val="none"/>
        </w:rPr>
      </w:pPr>
    </w:p>
    <w:p w14:paraId="720CD7AA">
      <w:pPr>
        <w:pStyle w:val="3"/>
        <w:spacing w:line="360" w:lineRule="auto"/>
        <w:rPr>
          <w:rFonts w:ascii="楷体_GB2312" w:eastAsia="楷体_GB2312"/>
          <w:b/>
          <w:color w:val="auto"/>
          <w:sz w:val="44"/>
          <w:szCs w:val="44"/>
          <w:highlight w:val="none"/>
        </w:rPr>
      </w:pPr>
    </w:p>
    <w:p w14:paraId="7B4478DC">
      <w:pPr>
        <w:pStyle w:val="7"/>
        <w:spacing w:line="360" w:lineRule="auto"/>
        <w:rPr>
          <w:rFonts w:ascii="楷体_GB2312" w:eastAsia="楷体_GB2312"/>
          <w:b/>
          <w:color w:val="auto"/>
          <w:sz w:val="44"/>
          <w:szCs w:val="44"/>
          <w:highlight w:val="none"/>
        </w:rPr>
      </w:pPr>
    </w:p>
    <w:p w14:paraId="464E176B">
      <w:pPr>
        <w:pStyle w:val="3"/>
        <w:spacing w:line="360" w:lineRule="auto"/>
        <w:rPr>
          <w:rFonts w:ascii="楷体_GB2312" w:eastAsia="楷体_GB2312"/>
          <w:b/>
          <w:color w:val="auto"/>
          <w:sz w:val="44"/>
          <w:szCs w:val="44"/>
          <w:highlight w:val="none"/>
        </w:rPr>
      </w:pPr>
    </w:p>
    <w:p w14:paraId="7FED9A71">
      <w:pPr>
        <w:pStyle w:val="7"/>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6"/>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1"/>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205" w:type="dxa"/>
            <w:vAlign w:val="center"/>
          </w:tcPr>
          <w:p w14:paraId="58C53318">
            <w:pPr>
              <w:pStyle w:val="11"/>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4"/>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BC2FB5"/>
    <w:rsid w:val="03511AD9"/>
    <w:rsid w:val="03ED3BD7"/>
    <w:rsid w:val="04C91366"/>
    <w:rsid w:val="05B64224"/>
    <w:rsid w:val="0696261C"/>
    <w:rsid w:val="07702EBF"/>
    <w:rsid w:val="08293E73"/>
    <w:rsid w:val="09A06EBC"/>
    <w:rsid w:val="0B043CFB"/>
    <w:rsid w:val="0CA2647A"/>
    <w:rsid w:val="0D2D3085"/>
    <w:rsid w:val="0DAA7832"/>
    <w:rsid w:val="0DD979BE"/>
    <w:rsid w:val="0FBD7DE5"/>
    <w:rsid w:val="10362DC0"/>
    <w:rsid w:val="10E42CCD"/>
    <w:rsid w:val="11AD4ADB"/>
    <w:rsid w:val="126445BB"/>
    <w:rsid w:val="14DD66A2"/>
    <w:rsid w:val="15512530"/>
    <w:rsid w:val="16810234"/>
    <w:rsid w:val="17254BB9"/>
    <w:rsid w:val="175D4ED0"/>
    <w:rsid w:val="199476C8"/>
    <w:rsid w:val="1AA3690C"/>
    <w:rsid w:val="1AC71843"/>
    <w:rsid w:val="1AD364FF"/>
    <w:rsid w:val="1ADE3486"/>
    <w:rsid w:val="1B08700D"/>
    <w:rsid w:val="1B261D69"/>
    <w:rsid w:val="1BF43CB2"/>
    <w:rsid w:val="1C7D1E5D"/>
    <w:rsid w:val="1E0F3C2B"/>
    <w:rsid w:val="1E2C09AB"/>
    <w:rsid w:val="1E897F61"/>
    <w:rsid w:val="1F1C42EA"/>
    <w:rsid w:val="1F686EFF"/>
    <w:rsid w:val="213B2764"/>
    <w:rsid w:val="25333A88"/>
    <w:rsid w:val="25776FB2"/>
    <w:rsid w:val="26B047DC"/>
    <w:rsid w:val="26BD4622"/>
    <w:rsid w:val="26C54B2C"/>
    <w:rsid w:val="27BC5F2F"/>
    <w:rsid w:val="27C42B43"/>
    <w:rsid w:val="28C13F2B"/>
    <w:rsid w:val="2A604980"/>
    <w:rsid w:val="2A727AC6"/>
    <w:rsid w:val="2CC80594"/>
    <w:rsid w:val="2DDE2D69"/>
    <w:rsid w:val="2ECC1930"/>
    <w:rsid w:val="312D39F9"/>
    <w:rsid w:val="31B67ACD"/>
    <w:rsid w:val="334D7ECB"/>
    <w:rsid w:val="3503072C"/>
    <w:rsid w:val="356F257B"/>
    <w:rsid w:val="35786F8C"/>
    <w:rsid w:val="35E30AE8"/>
    <w:rsid w:val="36F5483C"/>
    <w:rsid w:val="389425B0"/>
    <w:rsid w:val="3A9D764F"/>
    <w:rsid w:val="3C65673D"/>
    <w:rsid w:val="3D50551B"/>
    <w:rsid w:val="3D6C7658"/>
    <w:rsid w:val="3DC2628F"/>
    <w:rsid w:val="3DD60AE2"/>
    <w:rsid w:val="3E5C0069"/>
    <w:rsid w:val="3E7A2DAA"/>
    <w:rsid w:val="3E8B1175"/>
    <w:rsid w:val="3FB97B2C"/>
    <w:rsid w:val="40181D19"/>
    <w:rsid w:val="40BD676E"/>
    <w:rsid w:val="417E75E8"/>
    <w:rsid w:val="41910115"/>
    <w:rsid w:val="41D908F9"/>
    <w:rsid w:val="438B3EDE"/>
    <w:rsid w:val="44F31851"/>
    <w:rsid w:val="45AA573E"/>
    <w:rsid w:val="45B275F5"/>
    <w:rsid w:val="46BC33FE"/>
    <w:rsid w:val="46EE7477"/>
    <w:rsid w:val="47BC0C07"/>
    <w:rsid w:val="489259CA"/>
    <w:rsid w:val="498B3956"/>
    <w:rsid w:val="4BC53306"/>
    <w:rsid w:val="4C15710C"/>
    <w:rsid w:val="4C2E5FB6"/>
    <w:rsid w:val="4C9444D5"/>
    <w:rsid w:val="4CE2174D"/>
    <w:rsid w:val="4E141911"/>
    <w:rsid w:val="4E370E84"/>
    <w:rsid w:val="4F7C19ED"/>
    <w:rsid w:val="4FB142EA"/>
    <w:rsid w:val="513814F5"/>
    <w:rsid w:val="51497716"/>
    <w:rsid w:val="520457CB"/>
    <w:rsid w:val="522C2C59"/>
    <w:rsid w:val="539774E2"/>
    <w:rsid w:val="541A03F5"/>
    <w:rsid w:val="54C5216A"/>
    <w:rsid w:val="54D577A2"/>
    <w:rsid w:val="55357439"/>
    <w:rsid w:val="589A572D"/>
    <w:rsid w:val="58C92DB8"/>
    <w:rsid w:val="5A2C4216"/>
    <w:rsid w:val="5A3433AD"/>
    <w:rsid w:val="5B761B8D"/>
    <w:rsid w:val="5D01514B"/>
    <w:rsid w:val="5DBA0782"/>
    <w:rsid w:val="5F2D396D"/>
    <w:rsid w:val="60D04179"/>
    <w:rsid w:val="62641034"/>
    <w:rsid w:val="6374691F"/>
    <w:rsid w:val="643B2EFE"/>
    <w:rsid w:val="65005919"/>
    <w:rsid w:val="665A019F"/>
    <w:rsid w:val="6672068F"/>
    <w:rsid w:val="670C6B88"/>
    <w:rsid w:val="68AC5DD9"/>
    <w:rsid w:val="68C926A3"/>
    <w:rsid w:val="692857E0"/>
    <w:rsid w:val="69E70454"/>
    <w:rsid w:val="6A6C5C24"/>
    <w:rsid w:val="6A832AFB"/>
    <w:rsid w:val="6B5E6742"/>
    <w:rsid w:val="6CD40DBF"/>
    <w:rsid w:val="6D0D24E0"/>
    <w:rsid w:val="6DA050EC"/>
    <w:rsid w:val="6E0440FB"/>
    <w:rsid w:val="72845AC6"/>
    <w:rsid w:val="72F8490A"/>
    <w:rsid w:val="73ED08CD"/>
    <w:rsid w:val="74120755"/>
    <w:rsid w:val="745C662B"/>
    <w:rsid w:val="74B308B5"/>
    <w:rsid w:val="75247769"/>
    <w:rsid w:val="753F0E71"/>
    <w:rsid w:val="75716A92"/>
    <w:rsid w:val="758D2516"/>
    <w:rsid w:val="7599235F"/>
    <w:rsid w:val="7858402F"/>
    <w:rsid w:val="78D50787"/>
    <w:rsid w:val="79FE2EB5"/>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99"/>
    <w:pPr>
      <w:tabs>
        <w:tab w:val="left" w:pos="4606"/>
      </w:tabs>
      <w:ind w:firstLine="420"/>
    </w:pPr>
  </w:style>
  <w:style w:type="paragraph" w:styleId="3">
    <w:name w:val="Body Text Indent"/>
    <w:basedOn w:val="1"/>
    <w:autoRedefine/>
    <w:qFormat/>
    <w:uiPriority w:val="0"/>
    <w:pPr>
      <w:spacing w:after="120"/>
      <w:ind w:left="420" w:leftChars="200"/>
    </w:pPr>
  </w:style>
  <w:style w:type="paragraph" w:styleId="7">
    <w:name w:val="Normal Indent"/>
    <w:basedOn w:val="1"/>
    <w:next w:val="8"/>
    <w:autoRedefine/>
    <w:qFormat/>
    <w:uiPriority w:val="0"/>
    <w:pPr>
      <w:ind w:firstLine="420"/>
    </w:pPr>
    <w:rPr>
      <w:szCs w:val="20"/>
    </w:rPr>
  </w:style>
  <w:style w:type="paragraph" w:styleId="8">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text"/>
    <w:basedOn w:val="1"/>
    <w:autoRedefine/>
    <w:qFormat/>
    <w:uiPriority w:val="0"/>
    <w:pPr>
      <w:jc w:val="left"/>
    </w:pPr>
  </w:style>
  <w:style w:type="paragraph" w:styleId="10">
    <w:name w:val="Body Text"/>
    <w:basedOn w:val="1"/>
    <w:next w:val="1"/>
    <w:autoRedefine/>
    <w:qFormat/>
    <w:uiPriority w:val="0"/>
    <w:pPr>
      <w:spacing w:after="120"/>
    </w:pPr>
  </w:style>
  <w:style w:type="paragraph" w:styleId="11">
    <w:name w:val="Plain Text"/>
    <w:basedOn w:val="1"/>
    <w:autoRedefine/>
    <w:qFormat/>
    <w:uiPriority w:val="0"/>
    <w:rPr>
      <w:rFonts w:ascii="宋体" w:hAnsi="Courier New"/>
      <w:kern w:val="0"/>
      <w:sz w:val="20"/>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4"/>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envelope return"/>
    <w:basedOn w:val="1"/>
    <w:autoRedefine/>
    <w:qFormat/>
    <w:uiPriority w:val="0"/>
    <w:pPr>
      <w:snapToGrid w:val="0"/>
    </w:pPr>
    <w:rPr>
      <w:rFonts w:ascii="Arial" w:hAnsi="Arial"/>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10"/>
    <w:autoRedefine/>
    <w:qFormat/>
    <w:uiPriority w:val="0"/>
    <w:pPr>
      <w:ind w:firstLine="420" w:firstLineChars="100"/>
    </w:pPr>
    <w:rPr>
      <w:rFonts w:ascii="Times New Roman" w:hAnsi="Times New Roman"/>
      <w:szCs w:val="20"/>
    </w:r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1"/>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8"/>
    <w:autoRedefine/>
    <w:qFormat/>
    <w:uiPriority w:val="0"/>
    <w:rPr>
      <w:rFonts w:ascii="Calibri" w:hAnsi="Calibri"/>
      <w:kern w:val="2"/>
      <w:sz w:val="18"/>
      <w:szCs w:val="18"/>
    </w:rPr>
  </w:style>
  <w:style w:type="character" w:customStyle="1" w:styleId="34">
    <w:name w:val="批注框文本 Char"/>
    <w:basedOn w:val="22"/>
    <w:link w:val="1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6737</Words>
  <Characters>7114</Characters>
  <Lines>186</Lines>
  <Paragraphs>52</Paragraphs>
  <TotalTime>3</TotalTime>
  <ScaleCrop>false</ScaleCrop>
  <LinksUpToDate>false</LinksUpToDate>
  <CharactersWithSpaces>7159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2024-11-14T02:13:59Z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117FBD630D48493D8237F03B71A220C2_13</vt:lpwstr>
  </property>
</Properties>
</file>