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96"/>
          <w:szCs w:val="96"/>
          <w:highlight w:val="none"/>
          <w:lang w:eastAsia="zh-CN"/>
        </w:rPr>
        <w:t>福建省司法厅桶装饮用水定点采购项目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0"/>
        <w:spacing w:line="0" w:lineRule="atLeast"/>
        <w:rPr>
          <w:rFonts w:hAnsi="宋体"/>
          <w:b/>
          <w:color w:val="auto"/>
          <w:sz w:val="32"/>
          <w:highlight w:val="none"/>
        </w:rPr>
      </w:pPr>
    </w:p>
    <w:p w14:paraId="6CBF94AB">
      <w:pPr>
        <w:pStyle w:val="10"/>
        <w:spacing w:line="0" w:lineRule="atLeast"/>
        <w:jc w:val="center"/>
        <w:rPr>
          <w:rFonts w:hAnsi="宋体"/>
          <w:b/>
          <w:color w:val="auto"/>
          <w:sz w:val="36"/>
          <w:highlight w:val="none"/>
        </w:rPr>
      </w:pPr>
    </w:p>
    <w:p w14:paraId="0DC222AE">
      <w:pPr>
        <w:pStyle w:val="10"/>
        <w:spacing w:line="0" w:lineRule="atLeast"/>
        <w:jc w:val="both"/>
        <w:rPr>
          <w:rFonts w:hAnsi="宋体"/>
          <w:b/>
          <w:color w:val="auto"/>
          <w:sz w:val="36"/>
          <w:highlight w:val="none"/>
        </w:rPr>
      </w:pPr>
    </w:p>
    <w:p w14:paraId="0DD67B47">
      <w:pPr>
        <w:pStyle w:val="10"/>
        <w:spacing w:line="0" w:lineRule="atLeast"/>
        <w:jc w:val="both"/>
        <w:rPr>
          <w:rFonts w:hAnsi="宋体"/>
          <w:b/>
          <w:color w:val="auto"/>
          <w:sz w:val="36"/>
          <w:highlight w:val="none"/>
        </w:rPr>
      </w:pPr>
    </w:p>
    <w:p w14:paraId="7F3ECCF0">
      <w:pPr>
        <w:pStyle w:val="10"/>
        <w:spacing w:line="0" w:lineRule="atLeast"/>
        <w:jc w:val="both"/>
        <w:rPr>
          <w:rFonts w:hAnsi="宋体"/>
          <w:b/>
          <w:color w:val="auto"/>
          <w:sz w:val="36"/>
          <w:highlight w:val="none"/>
        </w:rPr>
      </w:pPr>
    </w:p>
    <w:p w14:paraId="65572771">
      <w:pPr>
        <w:pStyle w:val="10"/>
        <w:spacing w:line="400" w:lineRule="exact"/>
        <w:rPr>
          <w:rFonts w:hAnsi="宋体"/>
          <w:b/>
          <w:color w:val="auto"/>
          <w:sz w:val="36"/>
          <w:highlight w:val="none"/>
        </w:rPr>
      </w:pPr>
    </w:p>
    <w:p w14:paraId="31591C01">
      <w:pPr>
        <w:pStyle w:val="10"/>
        <w:spacing w:line="640" w:lineRule="exact"/>
        <w:ind w:firstLine="1606" w:firstLineChars="500"/>
        <w:jc w:val="both"/>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JJZB-WJ-2024010</w:t>
      </w:r>
    </w:p>
    <w:p w14:paraId="6385ECEA">
      <w:pPr>
        <w:pStyle w:val="10"/>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福建省司法厅桶装饮用水定点采购项目</w:t>
      </w:r>
    </w:p>
    <w:p w14:paraId="4D39A686">
      <w:pPr>
        <w:pStyle w:val="10"/>
        <w:spacing w:line="640" w:lineRule="exact"/>
        <w:ind w:firstLine="1606" w:firstLineChars="500"/>
        <w:jc w:val="both"/>
        <w:rPr>
          <w:rFonts w:hAnsi="宋体"/>
          <w:b/>
          <w:color w:val="auto"/>
          <w:sz w:val="32"/>
          <w:szCs w:val="32"/>
          <w:highlight w:val="none"/>
        </w:rPr>
      </w:pPr>
      <w:r>
        <w:rPr>
          <w:rFonts w:hint="eastAsia" w:hAnsi="宋体"/>
          <w:b/>
          <w:color w:val="auto"/>
          <w:sz w:val="32"/>
          <w:szCs w:val="32"/>
          <w:highlight w:val="none"/>
        </w:rPr>
        <w:t>采</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购</w:t>
      </w:r>
      <w:r>
        <w:rPr>
          <w:rFonts w:hint="eastAsia" w:hAnsi="宋体"/>
          <w:b/>
          <w:color w:val="auto"/>
          <w:sz w:val="32"/>
          <w:szCs w:val="32"/>
          <w:highlight w:val="none"/>
          <w:lang w:val="en-US" w:eastAsia="zh-CN"/>
        </w:rPr>
        <w:t xml:space="preserve"> </w:t>
      </w:r>
      <w:r>
        <w:rPr>
          <w:rFonts w:hint="eastAsia" w:hAnsi="宋体"/>
          <w:b/>
          <w:color w:val="auto"/>
          <w:sz w:val="32"/>
          <w:szCs w:val="32"/>
          <w:highlight w:val="none"/>
        </w:rPr>
        <w:t>人：</w:t>
      </w:r>
      <w:r>
        <w:rPr>
          <w:rFonts w:hint="eastAsia" w:hAnsi="宋体"/>
          <w:b/>
          <w:color w:val="auto"/>
          <w:sz w:val="32"/>
          <w:szCs w:val="32"/>
          <w:highlight w:val="none"/>
          <w:lang w:eastAsia="zh-CN"/>
        </w:rPr>
        <w:t>福建省司法厅</w:t>
      </w:r>
    </w:p>
    <w:p w14:paraId="139BD949">
      <w:pPr>
        <w:pStyle w:val="4"/>
        <w:jc w:val="both"/>
        <w:rPr>
          <w:rFonts w:hint="default"/>
          <w:color w:val="auto"/>
          <w:sz w:val="48"/>
          <w:highlight w:val="none"/>
        </w:rPr>
      </w:pPr>
    </w:p>
    <w:p w14:paraId="6280ACD9">
      <w:pPr>
        <w:rPr>
          <w:rFonts w:hint="default"/>
        </w:rPr>
      </w:pPr>
    </w:p>
    <w:p w14:paraId="0D6CB01F">
      <w:pPr>
        <w:rPr>
          <w:rFonts w:hint="default"/>
        </w:rPr>
      </w:pPr>
    </w:p>
    <w:p w14:paraId="1D831961">
      <w:pPr>
        <w:pStyle w:val="10"/>
        <w:rPr>
          <w:rFonts w:hint="default"/>
        </w:rPr>
      </w:pPr>
    </w:p>
    <w:p w14:paraId="068EB945">
      <w:pPr>
        <w:pStyle w:val="10"/>
        <w:rPr>
          <w:rFonts w:hint="default"/>
        </w:rPr>
      </w:pPr>
    </w:p>
    <w:p w14:paraId="27374161">
      <w:pPr>
        <w:pStyle w:val="10"/>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福建省司法厅桶装饮用水定点采购项目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JJZB-WJ-2024010</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福建省司法厅桶装饮用水定点采购项目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bookmarkStart w:id="0" w:name="_Toc21403"/>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w:t>
      </w:r>
      <w:bookmarkStart w:id="8" w:name="_GoBack"/>
      <w:bookmarkEnd w:id="8"/>
      <w:r>
        <w:rPr>
          <w:rFonts w:hint="eastAsia" w:ascii="宋体" w:hAnsi="宋体" w:eastAsia="宋体" w:cs="宋体"/>
          <w:color w:val="auto"/>
          <w:sz w:val="24"/>
          <w:highlight w:val="none"/>
        </w:rPr>
        <w:t>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83491C1">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b/>
          <w:bCs/>
          <w:sz w:val="24"/>
          <w:highlight w:val="none"/>
          <w:lang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b/>
          <w:bCs/>
          <w:sz w:val="24"/>
          <w:highlight w:val="none"/>
          <w:lang w:eastAsia="zh-CN"/>
        </w:rPr>
        <w:t>①供应商为饮用水生产厂家的，须提供《食品生产许可证》及《取水许可证》；②供应商为经销商的，须提供《食品经营许可证》。（提供有效证书复印件并加盖供应商公章）</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val="en-US"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eastAsia="宋体" w:cs="宋体"/>
          <w:color w:val="auto"/>
          <w:sz w:val="24"/>
          <w:highlight w:val="none"/>
        </w:rPr>
        <w:t>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4</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val="en-US"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val="en-US"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周先生 0591-87713287 </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岳红丽、赖天凤</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3"/>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19"/>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19"/>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3"/>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219E7907">
      <w:pPr>
        <w:pStyle w:val="16"/>
        <w:keepNext w:val="0"/>
        <w:keepLines w:val="0"/>
        <w:pageBreakBefore w:val="0"/>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若提交报价的供应商数量不足三家的（除“首次采用网上竞价采购方式流标的项目，在组织新一轮网上竞价采购时，采购过程中合格的供应商只有两家时，可以直接与该两家供应商进行网上竞价采购”情形外），本次采购活动结束，采购人将按照相关规定进行后续采购活动（包括但不限于：重新采购、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0"/>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C68125F">
      <w:pPr>
        <w:keepNext w:val="0"/>
        <w:keepLines w:val="0"/>
        <w:pageBreakBefore w:val="0"/>
        <w:widowControl/>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sz w:val="24"/>
          <w:szCs w:val="24"/>
          <w:lang w:val="en-US" w:eastAsia="zh-CN"/>
        </w:rPr>
        <w:t>供应商</w:t>
      </w:r>
      <w:r>
        <w:rPr>
          <w:rFonts w:hint="eastAsia" w:ascii="宋体" w:hAnsi="宋体" w:eastAsia="宋体" w:cs="宋体"/>
          <w:sz w:val="24"/>
          <w:szCs w:val="24"/>
        </w:rPr>
        <w:t>的报价明显低于其他</w:t>
      </w:r>
      <w:r>
        <w:rPr>
          <w:rFonts w:hint="eastAsia" w:ascii="宋体" w:hAnsi="宋体" w:eastAsia="宋体" w:cs="宋体"/>
          <w:sz w:val="24"/>
          <w:szCs w:val="24"/>
          <w:lang w:val="en-US" w:eastAsia="zh-CN"/>
        </w:rPr>
        <w:t>符合网上竞价文件要求的供应商</w:t>
      </w:r>
      <w:r>
        <w:rPr>
          <w:rFonts w:hint="eastAsia" w:ascii="宋体" w:hAnsi="宋体" w:eastAsia="宋体" w:cs="宋体"/>
          <w:sz w:val="24"/>
          <w:szCs w:val="24"/>
        </w:rPr>
        <w:t>的报价，有可能影响产品质量或不能诚信履约的，</w:t>
      </w:r>
      <w:r>
        <w:rPr>
          <w:rFonts w:hint="eastAsia" w:ascii="宋体" w:hAnsi="宋体" w:eastAsia="宋体" w:cs="宋体"/>
          <w:sz w:val="24"/>
          <w:szCs w:val="24"/>
          <w:lang w:val="en-US" w:eastAsia="zh-CN"/>
        </w:rPr>
        <w:t>将</w:t>
      </w:r>
      <w:r>
        <w:rPr>
          <w:rFonts w:hint="eastAsia" w:ascii="宋体" w:hAnsi="宋体" w:eastAsia="宋体" w:cs="宋体"/>
          <w:sz w:val="24"/>
          <w:szCs w:val="24"/>
        </w:rPr>
        <w:t>要求其在合理的时间内提供书面说明，必要时还要求其一并提交有关证明材料；</w:t>
      </w:r>
      <w:r>
        <w:rPr>
          <w:rFonts w:hint="eastAsia" w:ascii="宋体" w:hAnsi="宋体" w:eastAsia="宋体" w:cs="宋体"/>
          <w:sz w:val="24"/>
          <w:szCs w:val="24"/>
          <w:lang w:val="en-US" w:eastAsia="zh-CN"/>
        </w:rPr>
        <w:t>供应商</w:t>
      </w:r>
      <w:r>
        <w:rPr>
          <w:rFonts w:hint="eastAsia" w:ascii="宋体" w:hAnsi="宋体" w:eastAsia="宋体" w:cs="宋体"/>
          <w:sz w:val="24"/>
          <w:szCs w:val="24"/>
        </w:rPr>
        <w:t>不能证明其报价合理性的，将其作为报价无效处理</w:t>
      </w:r>
      <w:r>
        <w:rPr>
          <w:rFonts w:hint="eastAsia" w:ascii="宋体" w:hAnsi="宋体" w:eastAsia="宋体" w:cs="宋体"/>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079AEF7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73C35127">
      <w:pPr>
        <w:keepNext w:val="0"/>
        <w:keepLines w:val="0"/>
        <w:pageBreakBefore w:val="0"/>
        <w:widowControl/>
        <w:kinsoku/>
        <w:wordWrap/>
        <w:overflowPunct/>
        <w:topLinePunct w:val="0"/>
        <w:autoSpaceDE/>
        <w:autoSpaceDN/>
        <w:bidi w:val="0"/>
        <w:adjustRightInd/>
        <w:spacing w:line="420" w:lineRule="exact"/>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w:t>
      </w:r>
    </w:p>
    <w:p w14:paraId="4832CAA4">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4"/>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30567034"/>
      <w:bookmarkStart w:id="5" w:name="_Toc327948617"/>
      <w:bookmarkStart w:id="6" w:name="_Toc347060296"/>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0"/>
        <w:tblW w:w="9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726"/>
        <w:gridCol w:w="1218"/>
        <w:gridCol w:w="2144"/>
        <w:gridCol w:w="1235"/>
        <w:gridCol w:w="1226"/>
        <w:gridCol w:w="1226"/>
        <w:gridCol w:w="1180"/>
      </w:tblGrid>
      <w:tr w14:paraId="7FD42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26"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品目</w:t>
            </w:r>
            <w:r>
              <w:rPr>
                <w:rFonts w:hint="eastAsia" w:ascii="宋体" w:hAnsi="宋体"/>
                <w:b/>
                <w:bCs/>
                <w:color w:val="auto"/>
                <w:kern w:val="0"/>
                <w:sz w:val="24"/>
                <w:szCs w:val="24"/>
                <w:highlight w:val="none"/>
                <w:lang w:eastAsia="zh-CN"/>
              </w:rPr>
              <w:t>名称</w:t>
            </w:r>
          </w:p>
        </w:tc>
        <w:tc>
          <w:tcPr>
            <w:tcW w:w="2144"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交付时间</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val="en-US" w:eastAsia="zh-CN"/>
              </w:rPr>
              <w:t>技术和</w:t>
            </w:r>
            <w:r>
              <w:rPr>
                <w:rFonts w:hint="eastAsia" w:ascii="宋体" w:hAnsi="宋体"/>
                <w:b/>
                <w:bCs/>
                <w:color w:val="auto"/>
                <w:kern w:val="0"/>
                <w:sz w:val="24"/>
                <w:szCs w:val="24"/>
                <w:highlight w:val="none"/>
                <w:lang w:eastAsia="zh-CN"/>
              </w:rPr>
              <w:t>服务要求</w:t>
            </w:r>
          </w:p>
        </w:tc>
        <w:tc>
          <w:tcPr>
            <w:tcW w:w="1226" w:type="dxa"/>
            <w:tcBorders>
              <w:top w:val="single" w:color="auto" w:sz="4" w:space="0"/>
              <w:left w:val="single" w:color="auto" w:sz="4" w:space="0"/>
              <w:bottom w:val="single" w:color="auto" w:sz="4" w:space="0"/>
              <w:right w:val="single" w:color="auto" w:sz="4" w:space="0"/>
            </w:tcBorders>
            <w:noWrap w:val="0"/>
            <w:vAlign w:val="center"/>
          </w:tcPr>
          <w:p w14:paraId="7B483B1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暂估数量</w:t>
            </w:r>
          </w:p>
        </w:tc>
        <w:tc>
          <w:tcPr>
            <w:tcW w:w="1226"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单价最高限价</w:t>
            </w:r>
          </w:p>
        </w:tc>
        <w:tc>
          <w:tcPr>
            <w:tcW w:w="1180" w:type="dxa"/>
            <w:tcBorders>
              <w:top w:val="single" w:color="auto" w:sz="4" w:space="0"/>
              <w:left w:val="single" w:color="auto" w:sz="4" w:space="0"/>
              <w:bottom w:val="single" w:color="auto" w:sz="4" w:space="0"/>
              <w:right w:val="single" w:color="auto" w:sz="4" w:space="0"/>
            </w:tcBorders>
            <w:noWrap w:val="0"/>
            <w:vAlign w:val="center"/>
          </w:tcPr>
          <w:p w14:paraId="73666EF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总价最高限价</w:t>
            </w:r>
          </w:p>
        </w:tc>
      </w:tr>
      <w:tr w14:paraId="3AE1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26"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36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218"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桶装饮用水</w:t>
            </w:r>
          </w:p>
        </w:tc>
        <w:tc>
          <w:tcPr>
            <w:tcW w:w="2144"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eastAsia="宋体" w:cs="Times New Roman"/>
                <w:b w:val="0"/>
                <w:bCs w:val="0"/>
                <w:color w:val="auto"/>
                <w:kern w:val="0"/>
                <w:sz w:val="24"/>
                <w:szCs w:val="24"/>
                <w:highlight w:val="none"/>
                <w:lang w:val="en-US" w:eastAsia="zh-CN"/>
              </w:rPr>
              <w:t>自签订合同之日起</w:t>
            </w:r>
            <w:r>
              <w:rPr>
                <w:rFonts w:hint="eastAsia" w:ascii="宋体" w:hAnsi="宋体" w:cs="Times New Roman"/>
                <w:b w:val="0"/>
                <w:bCs w:val="0"/>
                <w:color w:val="auto"/>
                <w:kern w:val="0"/>
                <w:sz w:val="24"/>
                <w:szCs w:val="24"/>
                <w:highlight w:val="none"/>
                <w:lang w:val="en-US" w:eastAsia="zh-CN"/>
              </w:rPr>
              <w:t>1</w:t>
            </w:r>
            <w:r>
              <w:rPr>
                <w:rFonts w:hint="eastAsia" w:ascii="宋体" w:hAnsi="宋体" w:eastAsia="宋体" w:cs="Times New Roman"/>
                <w:b w:val="0"/>
                <w:bCs w:val="0"/>
                <w:color w:val="auto"/>
                <w:kern w:val="0"/>
                <w:sz w:val="24"/>
                <w:szCs w:val="24"/>
                <w:highlight w:val="none"/>
                <w:lang w:val="en-US" w:eastAsia="zh-CN"/>
              </w:rPr>
              <w:t>年</w:t>
            </w:r>
            <w:r>
              <w:rPr>
                <w:rFonts w:hint="eastAsia" w:ascii="宋体" w:hAnsi="宋体" w:cs="Times New Roman"/>
                <w:b w:val="0"/>
                <w:bCs w:val="0"/>
                <w:color w:val="auto"/>
                <w:kern w:val="0"/>
                <w:sz w:val="24"/>
                <w:szCs w:val="24"/>
                <w:highlight w:val="none"/>
                <w:lang w:val="en-US" w:eastAsia="zh-CN"/>
              </w:rPr>
              <w:t>（接到采购人通知后按需求的数量送货）</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26"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6000桶</w:t>
            </w:r>
          </w:p>
        </w:tc>
        <w:tc>
          <w:tcPr>
            <w:tcW w:w="1226" w:type="dxa"/>
            <w:tcBorders>
              <w:top w:val="single" w:color="auto" w:sz="4" w:space="0"/>
              <w:left w:val="single" w:color="auto" w:sz="4" w:space="0"/>
              <w:bottom w:val="single" w:color="auto" w:sz="4" w:space="0"/>
              <w:right w:val="single" w:color="auto" w:sz="4" w:space="0"/>
            </w:tcBorders>
            <w:noWrap w:val="0"/>
            <w:vAlign w:val="center"/>
          </w:tcPr>
          <w:p w14:paraId="22BAD3B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7.5</w:t>
            </w:r>
          </w:p>
        </w:tc>
        <w:tc>
          <w:tcPr>
            <w:tcW w:w="1180" w:type="dxa"/>
            <w:tcBorders>
              <w:top w:val="single" w:color="auto" w:sz="4" w:space="0"/>
              <w:left w:val="single" w:color="auto" w:sz="4" w:space="0"/>
              <w:bottom w:val="single" w:color="auto" w:sz="4" w:space="0"/>
              <w:right w:val="single" w:color="auto" w:sz="4" w:space="0"/>
            </w:tcBorders>
            <w:noWrap w:val="0"/>
            <w:vAlign w:val="center"/>
          </w:tcPr>
          <w:p w14:paraId="7CB1F0D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45000.00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6801B541">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cs="宋体"/>
          <w:color w:val="auto"/>
          <w:kern w:val="0"/>
          <w:sz w:val="24"/>
          <w:szCs w:val="24"/>
          <w:highlight w:val="none"/>
          <w:lang w:val="en-US" w:eastAsia="zh-CN" w:bidi="ar-SA"/>
        </w:rPr>
        <w:t>本项目采购数量为暂估数量，最终结算按实际所供数量进行结算。</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0000FF"/>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供应商报价应包含本次项目所涉及到的所有费用，包</w:t>
      </w:r>
      <w:r>
        <w:rPr>
          <w:rFonts w:hint="eastAsia" w:ascii="宋体" w:hAnsi="宋体" w:cs="宋体"/>
          <w:color w:val="auto"/>
          <w:kern w:val="0"/>
          <w:sz w:val="24"/>
          <w:szCs w:val="24"/>
          <w:highlight w:val="none"/>
          <w:lang w:val="en-US" w:eastAsia="zh-CN" w:bidi="ar-SA"/>
        </w:rPr>
        <w:t>含但不限于</w:t>
      </w:r>
      <w:r>
        <w:rPr>
          <w:rFonts w:hint="eastAsia" w:ascii="宋体" w:hAnsi="宋体" w:eastAsia="宋体" w:cs="宋体"/>
          <w:color w:val="auto"/>
          <w:sz w:val="24"/>
          <w:szCs w:val="24"/>
        </w:rPr>
        <w:t>包装、运输费</w:t>
      </w:r>
      <w:r>
        <w:rPr>
          <w:rFonts w:hint="eastAsia" w:ascii="宋体" w:hAnsi="宋体" w:cs="宋体"/>
          <w:color w:val="auto"/>
          <w:sz w:val="24"/>
          <w:szCs w:val="24"/>
          <w:lang w:eastAsia="zh-CN"/>
        </w:rPr>
        <w:t>、</w:t>
      </w:r>
      <w:r>
        <w:rPr>
          <w:rFonts w:hint="eastAsia" w:ascii="宋体" w:hAnsi="宋体" w:eastAsia="宋体" w:cs="宋体"/>
          <w:color w:val="auto"/>
          <w:sz w:val="24"/>
          <w:szCs w:val="24"/>
        </w:rPr>
        <w:t>保险费、税费以及履行本项目合同所需的一切费用</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5B830DC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both"/>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lang w:val="en-US" w:eastAsia="zh-CN" w:bidi="ar-SA"/>
        </w:rPr>
        <w:t>1、</w:t>
      </w:r>
      <w:r>
        <w:rPr>
          <w:rFonts w:hint="eastAsia" w:ascii="宋体" w:hAnsi="宋体" w:cs="新宋体"/>
          <w:b w:val="0"/>
          <w:bCs w:val="0"/>
          <w:color w:val="auto"/>
          <w:kern w:val="0"/>
          <w:sz w:val="24"/>
          <w:szCs w:val="24"/>
          <w:highlight w:val="none"/>
          <w:lang w:val="en-US" w:eastAsia="zh-CN"/>
        </w:rPr>
        <w:t>可直包装饮用水，每桶≥18L；</w:t>
      </w:r>
    </w:p>
    <w:p w14:paraId="1B4D8C7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both"/>
        <w:textAlignment w:val="center"/>
        <w:rPr>
          <w:rFonts w:hint="eastAsia" w:ascii="宋体" w:hAnsi="宋体" w:cs="新宋体"/>
          <w:b w:val="0"/>
          <w:bCs w:val="0"/>
          <w:color w:val="auto"/>
          <w:kern w:val="0"/>
          <w:sz w:val="24"/>
          <w:szCs w:val="24"/>
          <w:highlight w:val="yellow"/>
          <w:lang w:val="en-US" w:eastAsia="zh-CN"/>
        </w:rPr>
      </w:pPr>
      <w:r>
        <w:rPr>
          <w:rFonts w:hint="eastAsia" w:ascii="宋体" w:hAnsi="宋体" w:cs="新宋体"/>
          <w:b w:val="0"/>
          <w:bCs w:val="0"/>
          <w:color w:val="auto"/>
          <w:kern w:val="0"/>
          <w:sz w:val="24"/>
          <w:szCs w:val="24"/>
          <w:highlight w:val="none"/>
          <w:lang w:val="en-US" w:eastAsia="zh-CN"/>
        </w:rPr>
        <w:t>2、所供符合国家行业质量标准要求，具有产品检验合格证；</w:t>
      </w:r>
    </w:p>
    <w:p w14:paraId="1167FA32">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both"/>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3、产品符合 GB19298-2014《食品安全国家标准包装饮用水》、 GB2762-2017《食品安全国家标准食品中污染物限量》等标准；</w:t>
      </w:r>
      <w:r>
        <w:rPr>
          <w:rFonts w:hint="eastAsia" w:ascii="宋体" w:hAnsi="宋体" w:cs="新宋体"/>
          <w:b/>
          <w:bCs/>
          <w:color w:val="auto"/>
          <w:kern w:val="0"/>
          <w:sz w:val="24"/>
          <w:szCs w:val="24"/>
          <w:highlight w:val="none"/>
          <w:lang w:val="en-US" w:eastAsia="zh-CN"/>
        </w:rPr>
        <w:t>（</w:t>
      </w:r>
      <w:r>
        <w:rPr>
          <w:rFonts w:hint="eastAsia" w:ascii="宋体" w:hAnsi="宋体" w:cs="宋体"/>
          <w:b/>
          <w:sz w:val="24"/>
          <w:szCs w:val="24"/>
          <w:highlight w:val="none"/>
          <w:shd w:val="clear" w:fill="FFFFFF"/>
          <w:lang w:val="en-US" w:eastAsia="zh-CN"/>
        </w:rPr>
        <w:t>需</w:t>
      </w:r>
      <w:r>
        <w:rPr>
          <w:rFonts w:hint="eastAsia" w:ascii="宋体" w:hAnsi="宋体" w:eastAsia="宋体" w:cs="宋体"/>
          <w:b/>
          <w:sz w:val="24"/>
          <w:szCs w:val="24"/>
          <w:highlight w:val="none"/>
          <w:shd w:val="clear" w:fill="FFFFFF"/>
        </w:rPr>
        <w:t>提供投标截止时间前第三方检测机构出具的具有“CMA”或“CNAS”标识的检测合格的检测报告复印件</w:t>
      </w:r>
      <w:r>
        <w:rPr>
          <w:rFonts w:hint="eastAsia" w:ascii="宋体" w:hAnsi="宋体" w:cs="新宋体"/>
          <w:b/>
          <w:bCs/>
          <w:color w:val="auto"/>
          <w:kern w:val="0"/>
          <w:sz w:val="24"/>
          <w:szCs w:val="24"/>
          <w:highlight w:val="none"/>
          <w:lang w:val="en-US" w:eastAsia="zh-CN"/>
        </w:rPr>
        <w:t>）</w:t>
      </w:r>
    </w:p>
    <w:p w14:paraId="02D6295F">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both"/>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4、纯净水桶材质为PC桶全新料生产，水桶壁厚大于2mm，符合国家标准的有关安全和卫生要求；</w:t>
      </w:r>
    </w:p>
    <w:p w14:paraId="168EFA1E">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480" w:firstLineChars="200"/>
        <w:jc w:val="both"/>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5、供应商须提供不少于2个自2023年1月1日起至投标截止时间止服务大客户的合同复印件及相关发票复印件。</w:t>
      </w:r>
    </w:p>
    <w:p w14:paraId="017CE766">
      <w:pPr>
        <w:keepNext w:val="0"/>
        <w:keepLines w:val="0"/>
        <w:pageBreakBefore w:val="0"/>
        <w:widowControl/>
        <w:kinsoku/>
        <w:wordWrap/>
        <w:overflowPunct/>
        <w:topLinePunct w:val="0"/>
        <w:autoSpaceDE/>
        <w:autoSpaceDN/>
        <w:bidi w:val="0"/>
        <w:adjustRightIn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交付时间</w:t>
      </w:r>
      <w:r>
        <w:rPr>
          <w:rFonts w:hint="eastAsia" w:ascii="宋体" w:hAnsi="宋体" w:eastAsia="宋体" w:cs="宋体"/>
          <w:b/>
          <w:bCs/>
          <w:color w:val="auto"/>
          <w:kern w:val="0"/>
          <w:sz w:val="24"/>
          <w:szCs w:val="24"/>
          <w:highlight w:val="none"/>
        </w:rPr>
        <w:t>：</w:t>
      </w:r>
      <w:r>
        <w:rPr>
          <w:rFonts w:hint="eastAsia" w:ascii="宋体" w:hAnsi="宋体" w:eastAsia="宋体" w:cs="Times New Roman"/>
          <w:b w:val="0"/>
          <w:bCs w:val="0"/>
          <w:color w:val="auto"/>
          <w:kern w:val="0"/>
          <w:sz w:val="24"/>
          <w:szCs w:val="24"/>
          <w:highlight w:val="none"/>
          <w:lang w:val="en-US" w:eastAsia="zh-CN"/>
        </w:rPr>
        <w:t>自签订合同之日起</w:t>
      </w:r>
      <w:r>
        <w:rPr>
          <w:rFonts w:hint="eastAsia" w:ascii="宋体" w:hAnsi="宋体" w:cs="Times New Roman"/>
          <w:b w:val="0"/>
          <w:bCs w:val="0"/>
          <w:color w:val="auto"/>
          <w:kern w:val="0"/>
          <w:sz w:val="24"/>
          <w:szCs w:val="24"/>
          <w:highlight w:val="none"/>
          <w:lang w:val="en-US" w:eastAsia="zh-CN"/>
        </w:rPr>
        <w:t>1</w:t>
      </w:r>
      <w:r>
        <w:rPr>
          <w:rFonts w:hint="eastAsia" w:ascii="宋体" w:hAnsi="宋体" w:eastAsia="宋体" w:cs="Times New Roman"/>
          <w:b w:val="0"/>
          <w:bCs w:val="0"/>
          <w:color w:val="auto"/>
          <w:kern w:val="0"/>
          <w:sz w:val="24"/>
          <w:szCs w:val="24"/>
          <w:highlight w:val="none"/>
          <w:lang w:val="en-US" w:eastAsia="zh-CN"/>
        </w:rPr>
        <w:t>年</w:t>
      </w:r>
      <w:r>
        <w:rPr>
          <w:rFonts w:hint="eastAsia" w:ascii="宋体" w:hAnsi="宋体" w:cs="Times New Roman"/>
          <w:b w:val="0"/>
          <w:bCs w:val="0"/>
          <w:color w:val="auto"/>
          <w:kern w:val="0"/>
          <w:sz w:val="24"/>
          <w:szCs w:val="24"/>
          <w:highlight w:val="none"/>
          <w:lang w:val="en-US" w:eastAsia="zh-CN"/>
        </w:rPr>
        <w:t>（接到采购人通知后按需求的数量送货）</w:t>
      </w:r>
      <w:r>
        <w:rPr>
          <w:rFonts w:hint="eastAsia" w:ascii="宋体" w:hAnsi="宋体" w:cs="宋体"/>
          <w:b w:val="0"/>
          <w:bCs w:val="0"/>
          <w:color w:val="auto"/>
          <w:kern w:val="0"/>
          <w:sz w:val="24"/>
          <w:szCs w:val="24"/>
          <w:highlight w:val="none"/>
          <w:lang w:val="en-US" w:eastAsia="zh-CN"/>
        </w:rPr>
        <w:t>。</w:t>
      </w:r>
    </w:p>
    <w:p w14:paraId="56FD805B">
      <w:pPr>
        <w:pStyle w:val="9"/>
        <w:keepNext w:val="0"/>
        <w:keepLines w:val="0"/>
        <w:pageBreakBefore w:val="0"/>
        <w:kinsoku/>
        <w:wordWrap/>
        <w:overflowPunct/>
        <w:topLinePunct w:val="0"/>
        <w:autoSpaceDE/>
        <w:autoSpaceDN/>
        <w:bidi w:val="0"/>
        <w:adjustRightInd/>
        <w:snapToGrid/>
        <w:spacing w:after="0" w:line="44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按照采购人的要求定时定点专人配送至采购人指定地点。</w:t>
      </w:r>
    </w:p>
    <w:p w14:paraId="77EAC743">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40" w:lineRule="exact"/>
        <w:ind w:firstLine="482" w:firstLineChars="200"/>
        <w:jc w:val="left"/>
        <w:textAlignment w:val="baseline"/>
        <w:rPr>
          <w:rFonts w:hint="eastAsia" w:ascii="宋体" w:hAnsi="宋体" w:cs="宋体"/>
          <w:b w:val="0"/>
          <w:bCs w:val="0"/>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val="0"/>
        <w:tabs>
          <w:tab w:val="left" w:pos="900"/>
          <w:tab w:val="left" w:pos="1100"/>
        </w:tabs>
        <w:kinsoku w:val="0"/>
        <w:wordWrap/>
        <w:overflowPunct w:val="0"/>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eastAsia" w:ascii="宋体" w:hAnsi="宋体" w:eastAsia="宋体" w:cs="宋体"/>
          <w:b w:val="0"/>
          <w:bCs w:val="0"/>
          <w:color w:val="auto"/>
          <w:kern w:val="0"/>
          <w:sz w:val="24"/>
          <w:szCs w:val="24"/>
          <w:highlight w:val="yellow"/>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按月支付，成交供应商于下个月10号前提交上个月的付款申请和送水清单，采购人确认无异议后，在收到成交供应商提交的发票等相关付款申请材料后30日内完成支付。</w:t>
      </w:r>
    </w:p>
    <w:p w14:paraId="18929153">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r>
        <w:rPr>
          <w:rFonts w:hint="eastAsia" w:cs="宋体"/>
          <w:b w:val="0"/>
          <w:bCs w:val="0"/>
          <w:color w:val="auto"/>
          <w:kern w:val="0"/>
          <w:sz w:val="24"/>
          <w:szCs w:val="24"/>
          <w:highlight w:val="none"/>
          <w:lang w:val="en-US" w:eastAsia="zh-CN" w:bidi="ar-SA"/>
        </w:rPr>
        <w:t>。</w:t>
      </w:r>
    </w:p>
    <w:p w14:paraId="50A007B6">
      <w:pPr>
        <w:pStyle w:val="32"/>
        <w:keepNext w:val="0"/>
        <w:keepLines w:val="0"/>
        <w:pageBreakBefore w:val="0"/>
        <w:numPr>
          <w:ilvl w:val="0"/>
          <w:numId w:val="0"/>
        </w:numPr>
        <w:kinsoku/>
        <w:wordWrap/>
        <w:overflowPunct/>
        <w:topLinePunct w:val="0"/>
        <w:autoSpaceDE/>
        <w:autoSpaceDN/>
        <w:bidi w:val="0"/>
        <w:adjustRightInd/>
        <w:snapToGrid/>
        <w:spacing w:line="440" w:lineRule="exact"/>
        <w:ind w:firstLine="482" w:firstLineChars="200"/>
        <w:jc w:val="left"/>
        <w:textAlignment w:val="auto"/>
        <w:rPr>
          <w:rFonts w:hint="eastAsia" w:ascii="宋体" w:hAnsi="宋体" w:cs="宋体"/>
          <w:b/>
          <w:bCs w:val="0"/>
          <w:sz w:val="24"/>
          <w:szCs w:val="24"/>
          <w:shd w:val="clear" w:fill="FFFFFF"/>
          <w:lang w:val="en-US" w:eastAsia="zh-CN"/>
        </w:rPr>
      </w:pPr>
      <w:r>
        <w:rPr>
          <w:rFonts w:hint="eastAsia" w:ascii="宋体" w:hAnsi="宋体" w:cs="宋体"/>
          <w:b/>
          <w:bCs w:val="0"/>
          <w:sz w:val="24"/>
          <w:szCs w:val="24"/>
          <w:shd w:val="clear" w:fill="FFFFFF"/>
          <w:lang w:val="en-US" w:eastAsia="zh-CN" w:bidi="ar-SA"/>
        </w:rPr>
        <w:t>8</w:t>
      </w:r>
      <w:r>
        <w:rPr>
          <w:rFonts w:hint="eastAsia" w:ascii="宋体" w:hAnsi="宋体" w:eastAsia="宋体" w:cs="宋体"/>
          <w:b/>
          <w:bCs w:val="0"/>
          <w:sz w:val="24"/>
          <w:szCs w:val="24"/>
          <w:shd w:val="clear" w:fill="FFFFFF"/>
          <w:lang w:val="en-US" w:eastAsia="zh-CN" w:bidi="ar-SA"/>
        </w:rPr>
        <w:t>、</w:t>
      </w:r>
      <w:r>
        <w:rPr>
          <w:rFonts w:hint="eastAsia" w:ascii="宋体" w:hAnsi="宋体" w:cs="宋体"/>
          <w:b/>
          <w:bCs w:val="0"/>
          <w:sz w:val="24"/>
          <w:szCs w:val="24"/>
          <w:shd w:val="clear" w:fill="FFFFFF"/>
          <w:lang w:val="en-US" w:eastAsia="zh-CN"/>
        </w:rPr>
        <w:t>售后服务：</w:t>
      </w:r>
    </w:p>
    <w:p w14:paraId="356ECE3A">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w:t>
      </w:r>
      <w:r>
        <w:rPr>
          <w:rFonts w:hint="eastAsia" w:ascii="宋体" w:hAnsi="宋体" w:eastAsia="宋体" w:cs="宋体"/>
          <w:b w:val="0"/>
          <w:bCs/>
          <w:sz w:val="24"/>
          <w:szCs w:val="24"/>
          <w:shd w:val="clear" w:fill="FFFFFF"/>
          <w:lang w:val="en-US" w:eastAsia="zh-CN"/>
        </w:rPr>
        <w:t>.1成交人必须严格按照现行饮用桶装水国家标准向采购人提供合格的产品；若国家颁发了最新标准，则立即参照最新标准执行。</w:t>
      </w:r>
    </w:p>
    <w:p w14:paraId="43D8A6AF">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b w:val="0"/>
          <w:bCs/>
          <w:sz w:val="24"/>
          <w:szCs w:val="24"/>
          <w:shd w:val="clear" w:fill="FFFFFF"/>
          <w:lang w:val="en-US" w:eastAsia="zh-CN"/>
        </w:rPr>
      </w:pPr>
      <w:r>
        <w:rPr>
          <w:rFonts w:hint="eastAsia" w:ascii="宋体" w:hAnsi="宋体" w:cs="宋体"/>
          <w:b w:val="0"/>
          <w:bCs/>
          <w:sz w:val="24"/>
          <w:szCs w:val="24"/>
          <w:shd w:val="clear" w:fill="FFFFFF"/>
          <w:lang w:val="en-US" w:eastAsia="zh-CN"/>
        </w:rPr>
        <w:t>8</w:t>
      </w:r>
      <w:r>
        <w:rPr>
          <w:rFonts w:hint="eastAsia" w:ascii="宋体" w:hAnsi="宋体" w:eastAsia="宋体" w:cs="宋体"/>
          <w:b w:val="0"/>
          <w:bCs/>
          <w:sz w:val="24"/>
          <w:szCs w:val="24"/>
          <w:shd w:val="clear" w:fill="FFFFFF"/>
          <w:lang w:val="en-US" w:eastAsia="zh-CN"/>
        </w:rPr>
        <w:t>.2成交人必须保障水的正常供应，安排专职人员按照采购人的要求定时定点</w:t>
      </w:r>
      <w:r>
        <w:rPr>
          <w:rFonts w:hint="eastAsia" w:ascii="宋体" w:hAnsi="宋体" w:cs="宋体"/>
          <w:b w:val="0"/>
          <w:bCs/>
          <w:sz w:val="24"/>
          <w:szCs w:val="24"/>
          <w:shd w:val="clear" w:fill="FFFFFF"/>
          <w:lang w:val="en-US" w:eastAsia="zh-CN"/>
        </w:rPr>
        <w:t>送至</w:t>
      </w:r>
      <w:r>
        <w:rPr>
          <w:rFonts w:hint="eastAsia" w:ascii="宋体" w:hAnsi="宋体" w:eastAsia="宋体" w:cs="宋体"/>
          <w:b w:val="0"/>
          <w:bCs/>
          <w:sz w:val="24"/>
          <w:szCs w:val="24"/>
          <w:shd w:val="clear" w:fill="FFFFFF"/>
          <w:lang w:val="en-US" w:eastAsia="zh-CN"/>
        </w:rPr>
        <w:t>采购人指定地点，并承担桶装水出厂送至采购人过程的所有费用</w:t>
      </w:r>
      <w:r>
        <w:rPr>
          <w:rFonts w:hint="eastAsia" w:ascii="宋体" w:hAnsi="宋体" w:cs="宋体"/>
          <w:b w:val="0"/>
          <w:bCs/>
          <w:sz w:val="24"/>
          <w:szCs w:val="24"/>
          <w:shd w:val="clear" w:fill="FFFFFF"/>
          <w:lang w:val="en-US" w:eastAsia="zh-CN"/>
        </w:rPr>
        <w:t>，配送专人需遵守采购人的规章和制度要求</w:t>
      </w:r>
      <w:r>
        <w:rPr>
          <w:rFonts w:hint="eastAsia" w:ascii="宋体" w:hAnsi="宋体" w:eastAsia="宋体" w:cs="宋体"/>
          <w:b w:val="0"/>
          <w:bCs/>
          <w:sz w:val="24"/>
          <w:szCs w:val="24"/>
          <w:shd w:val="clear" w:fill="FFFFFF"/>
          <w:lang w:val="en-US" w:eastAsia="zh-CN"/>
        </w:rPr>
        <w:t>。</w:t>
      </w:r>
    </w:p>
    <w:p w14:paraId="53A36506">
      <w:pPr>
        <w:pStyle w:val="32"/>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default" w:ascii="宋体" w:hAnsi="宋体" w:eastAsia="宋体" w:cs="宋体"/>
          <w:b w:val="0"/>
          <w:bCs/>
          <w:sz w:val="24"/>
          <w:szCs w:val="24"/>
          <w:shd w:val="clear" w:fill="FFFFFF"/>
          <w:lang w:val="en-US" w:eastAsia="zh-CN"/>
        </w:rPr>
      </w:pPr>
      <w:r>
        <w:rPr>
          <w:rFonts w:hint="eastAsia" w:ascii="宋体" w:hAnsi="宋体" w:cs="宋体"/>
          <w:b/>
          <w:bCs w:val="0"/>
          <w:sz w:val="24"/>
          <w:szCs w:val="24"/>
          <w:shd w:val="clear" w:fill="FFFFFF"/>
          <w:lang w:val="en-US" w:eastAsia="zh-CN"/>
        </w:rPr>
        <w:t>8.3成交人须为采购</w:t>
      </w:r>
      <w:r>
        <w:rPr>
          <w:rFonts w:hint="eastAsia" w:ascii="宋体" w:hAnsi="宋体" w:cs="宋体"/>
          <w:b/>
          <w:bCs w:val="0"/>
          <w:sz w:val="24"/>
          <w:szCs w:val="24"/>
          <w:highlight w:val="none"/>
          <w:shd w:val="clear" w:fill="FFFFFF"/>
          <w:lang w:val="en-US" w:eastAsia="zh-CN"/>
        </w:rPr>
        <w:t>人提供饮水机13台、空桶200桶，</w:t>
      </w:r>
      <w:r>
        <w:rPr>
          <w:rFonts w:hint="eastAsia" w:ascii="宋体" w:hAnsi="宋体" w:cs="宋体"/>
          <w:b/>
          <w:bCs w:val="0"/>
          <w:sz w:val="24"/>
          <w:szCs w:val="24"/>
          <w:shd w:val="clear" w:fill="FFFFFF"/>
          <w:lang w:val="en-US" w:eastAsia="zh-CN"/>
        </w:rPr>
        <w:t>并定期检查饮用水是否超过最佳饮用日期，每个月对饮水机进行消毒。</w:t>
      </w:r>
    </w:p>
    <w:p w14:paraId="5709DA83">
      <w:pPr>
        <w:pStyle w:val="32"/>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cs="宋体"/>
          <w:b/>
          <w:sz w:val="24"/>
          <w:szCs w:val="24"/>
          <w:shd w:val="clear" w:fill="FFFFFF"/>
          <w:lang w:val="en-US" w:eastAsia="zh-CN"/>
        </w:rPr>
        <w:t>9</w:t>
      </w:r>
      <w:r>
        <w:rPr>
          <w:rFonts w:hint="eastAsia" w:ascii="宋体" w:hAnsi="宋体" w:eastAsia="宋体" w:cs="宋体"/>
          <w:b/>
          <w:sz w:val="24"/>
          <w:szCs w:val="24"/>
          <w:shd w:val="clear" w:fill="FFFFFF"/>
        </w:rPr>
        <w:t>、违约责任</w:t>
      </w:r>
      <w:r>
        <w:rPr>
          <w:rFonts w:hint="eastAsia" w:ascii="宋体" w:hAnsi="宋体" w:cs="宋体"/>
          <w:b/>
          <w:sz w:val="24"/>
          <w:szCs w:val="24"/>
          <w:shd w:val="clear" w:fill="FFFFFF"/>
          <w:lang w:eastAsia="zh-CN"/>
        </w:rPr>
        <w:t>：</w:t>
      </w:r>
    </w:p>
    <w:p w14:paraId="7AF0C1CC">
      <w:pPr>
        <w:pStyle w:val="32"/>
        <w:keepNext w:val="0"/>
        <w:keepLines w:val="0"/>
        <w:pageBreakBefore w:val="0"/>
        <w:kinsoku/>
        <w:wordWrap/>
        <w:overflowPunct/>
        <w:topLinePunct w:val="0"/>
        <w:autoSpaceDE/>
        <w:autoSpaceDN/>
        <w:bidi w:val="0"/>
        <w:adjustRightInd/>
        <w:snapToGrid/>
        <w:spacing w:line="44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9</w:t>
      </w:r>
      <w:r>
        <w:rPr>
          <w:rFonts w:hint="eastAsia" w:ascii="宋体" w:hAnsi="宋体" w:eastAsia="宋体" w:cs="宋体"/>
          <w:sz w:val="24"/>
          <w:szCs w:val="24"/>
          <w:shd w:val="clear" w:fill="FFFFFF"/>
        </w:rPr>
        <w:t>.1因</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原因造成采购合同无法按时签订，视为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w:t>
      </w:r>
    </w:p>
    <w:p w14:paraId="3A7179BC">
      <w:pPr>
        <w:pStyle w:val="32"/>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造成的损失的，需另行支付相应的赔偿，采购人有权单方面解除合同。</w:t>
      </w:r>
    </w:p>
    <w:p w14:paraId="13E4139A">
      <w:pPr>
        <w:pStyle w:val="32"/>
        <w:keepNext w:val="0"/>
        <w:keepLines w:val="0"/>
        <w:pageBreakBefore w:val="0"/>
        <w:kinsoku/>
        <w:wordWrap/>
        <w:overflowPunct/>
        <w:topLinePunct w:val="0"/>
        <w:autoSpaceDE/>
        <w:autoSpaceDN/>
        <w:bidi w:val="0"/>
        <w:adjustRightInd/>
        <w:snapToGrid/>
        <w:spacing w:line="440" w:lineRule="exact"/>
        <w:ind w:left="479" w:leftChars="228" w:firstLine="0" w:firstLineChars="0"/>
        <w:jc w:val="left"/>
        <w:textAlignment w:val="auto"/>
        <w:rPr>
          <w:rFonts w:hint="eastAsia" w:ascii="宋体" w:hAnsi="宋体" w:eastAsia="宋体" w:cs="宋体"/>
          <w:sz w:val="24"/>
          <w:szCs w:val="24"/>
          <w:shd w:val="clear" w:fill="FFFFFF"/>
        </w:rPr>
      </w:pPr>
      <w:r>
        <w:rPr>
          <w:rFonts w:hint="eastAsia" w:ascii="宋体" w:hAnsi="宋体" w:cs="宋体"/>
          <w:sz w:val="24"/>
          <w:szCs w:val="24"/>
          <w:shd w:val="clear" w:fill="FFFFFF"/>
          <w:lang w:val="en-US" w:eastAsia="zh-CN"/>
        </w:rPr>
        <w:t>9</w:t>
      </w:r>
      <w:r>
        <w:rPr>
          <w:rFonts w:hint="eastAsia" w:ascii="宋体" w:hAnsi="宋体" w:eastAsia="宋体" w:cs="宋体"/>
          <w:sz w:val="24"/>
          <w:szCs w:val="24"/>
          <w:shd w:val="clear" w:fill="FFFFFF"/>
        </w:rPr>
        <w:t>.2在签订采购合同之后，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要求解除合同的，视为</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违约，对采购人造成的</w:t>
      </w:r>
    </w:p>
    <w:p w14:paraId="7F379765">
      <w:pPr>
        <w:pStyle w:val="32"/>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sz w:val="24"/>
          <w:szCs w:val="24"/>
          <w:shd w:val="clear" w:fill="FFFFFF"/>
        </w:rPr>
      </w:pPr>
      <w:r>
        <w:rPr>
          <w:rFonts w:hint="eastAsia" w:ascii="宋体" w:hAnsi="宋体" w:eastAsia="宋体" w:cs="宋体"/>
          <w:sz w:val="24"/>
          <w:szCs w:val="24"/>
          <w:shd w:val="clear" w:fill="FFFFFF"/>
        </w:rPr>
        <w:t>损失的，</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需支付相应的赔偿，采购人有权单方面解除合同。</w:t>
      </w:r>
    </w:p>
    <w:p w14:paraId="28008EC1">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cs="宋体"/>
          <w:sz w:val="24"/>
          <w:szCs w:val="24"/>
          <w:shd w:val="clear" w:fill="FFFFFF"/>
          <w:lang w:val="en-US" w:eastAsia="zh-CN"/>
        </w:rPr>
      </w:pPr>
      <w:r>
        <w:rPr>
          <w:rFonts w:hint="eastAsia" w:ascii="宋体" w:hAnsi="宋体" w:cs="宋体"/>
          <w:sz w:val="24"/>
          <w:szCs w:val="24"/>
          <w:shd w:val="clear" w:fill="FFFFFF"/>
          <w:lang w:val="en-US" w:eastAsia="zh-CN"/>
        </w:rPr>
        <w:t>9.3在合同期间，因成交人提供饮用水质量或饮水机、饮水桶管理问题引起的事故，采购人有权拒付本月桶装水费用并终止合同，且成交人应承担由此造成的经济赔偿责任。</w:t>
      </w:r>
    </w:p>
    <w:p w14:paraId="5AD08CD3">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default" w:ascii="宋体" w:hAnsi="宋体" w:cs="宋体"/>
          <w:sz w:val="24"/>
          <w:szCs w:val="24"/>
          <w:shd w:val="clear" w:fill="FFFFFF"/>
          <w:lang w:val="en-US" w:eastAsia="zh-CN"/>
        </w:rPr>
      </w:pPr>
      <w:r>
        <w:rPr>
          <w:rFonts w:hint="eastAsia" w:ascii="宋体" w:hAnsi="宋体" w:cs="宋体"/>
          <w:sz w:val="24"/>
          <w:szCs w:val="24"/>
          <w:shd w:val="clear" w:fill="FFFFFF"/>
          <w:lang w:val="en-US" w:eastAsia="zh-CN"/>
        </w:rPr>
        <w:t>9.4因成交人原因发生重大质量事故，除依约承担赔偿责任外，还将按有关质量管理办法规定执行。同时，采购人有权保留更换成交人的权利，并报相关行政主管部门处罚。</w:t>
      </w:r>
    </w:p>
    <w:p w14:paraId="4299F68C">
      <w:pPr>
        <w:pStyle w:val="32"/>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24"/>
        </w:rPr>
      </w:pPr>
      <w:r>
        <w:rPr>
          <w:rFonts w:hint="eastAsia" w:ascii="宋体" w:hAnsi="宋体" w:cs="宋体"/>
          <w:sz w:val="24"/>
          <w:szCs w:val="24"/>
          <w:shd w:val="clear" w:fill="FFFFFF"/>
          <w:lang w:val="en-US" w:eastAsia="zh-CN"/>
        </w:rPr>
        <w:t>9</w:t>
      </w:r>
      <w:r>
        <w:rPr>
          <w:rFonts w:hint="eastAsia" w:ascii="宋体" w:hAnsi="宋体" w:eastAsia="宋体" w:cs="宋体"/>
          <w:sz w:val="24"/>
          <w:szCs w:val="24"/>
          <w:shd w:val="clear" w:fill="FFFFFF"/>
        </w:rPr>
        <w:t>.</w:t>
      </w:r>
      <w:r>
        <w:rPr>
          <w:rFonts w:hint="eastAsia" w:ascii="宋体" w:hAnsi="宋体" w:cs="宋体"/>
          <w:sz w:val="24"/>
          <w:szCs w:val="24"/>
          <w:shd w:val="clear" w:fill="FFFFFF"/>
          <w:lang w:val="en-US" w:eastAsia="zh-CN"/>
        </w:rPr>
        <w:t>5</w:t>
      </w:r>
      <w:r>
        <w:rPr>
          <w:rFonts w:hint="eastAsia" w:ascii="宋体" w:hAnsi="宋体" w:eastAsia="宋体" w:cs="宋体"/>
          <w:sz w:val="24"/>
          <w:szCs w:val="24"/>
          <w:shd w:val="clear" w:fill="FFFFFF"/>
        </w:rPr>
        <w:t>在明确违约责任后，</w:t>
      </w:r>
      <w:r>
        <w:rPr>
          <w:rFonts w:hint="eastAsia" w:ascii="宋体" w:hAnsi="宋体" w:eastAsia="宋体" w:cs="宋体"/>
          <w:b w:val="0"/>
          <w:bCs/>
          <w:sz w:val="24"/>
          <w:szCs w:val="24"/>
          <w:shd w:val="clear" w:fill="FFFFFF"/>
          <w:lang w:val="en-US" w:eastAsia="zh-CN"/>
        </w:rPr>
        <w:t>成交人</w:t>
      </w:r>
      <w:r>
        <w:rPr>
          <w:rFonts w:hint="eastAsia" w:ascii="宋体" w:hAnsi="宋体" w:eastAsia="宋体" w:cs="宋体"/>
          <w:sz w:val="24"/>
          <w:szCs w:val="24"/>
          <w:shd w:val="clear" w:fill="FFFFFF"/>
        </w:rPr>
        <w:t>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2" w:firstLineChars="200"/>
        <w:textAlignment w:val="auto"/>
        <w:rPr>
          <w:rFonts w:hint="eastAsia" w:eastAsia="宋体"/>
          <w:szCs w:val="24"/>
          <w:lang w:eastAsia="zh-CN"/>
        </w:rPr>
      </w:pPr>
      <w:r>
        <w:rPr>
          <w:rFonts w:hint="eastAsia" w:cs="宋体"/>
          <w:b/>
          <w:bCs/>
          <w:szCs w:val="24"/>
          <w:lang w:val="en-US" w:eastAsia="zh-CN"/>
        </w:rPr>
        <w:t>10</w:t>
      </w:r>
      <w:r>
        <w:rPr>
          <w:rFonts w:hint="eastAsia" w:ascii="宋体" w:hAnsi="宋体" w:cs="宋体"/>
          <w:b/>
          <w:bCs/>
          <w:szCs w:val="24"/>
        </w:rPr>
        <w:t>、其他事项</w:t>
      </w:r>
      <w:r>
        <w:rPr>
          <w:rFonts w:hint="eastAsia" w:cs="宋体"/>
          <w:b/>
          <w:bCs/>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10</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7BBA9240">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3"/>
        <w:spacing w:line="360" w:lineRule="auto"/>
        <w:rPr>
          <w:color w:val="auto"/>
          <w:highlight w:val="none"/>
        </w:rPr>
      </w:pPr>
    </w:p>
    <w:p w14:paraId="1C9B7D09">
      <w:pPr>
        <w:spacing w:line="360" w:lineRule="auto"/>
        <w:rPr>
          <w:color w:val="auto"/>
          <w:highlight w:val="none"/>
        </w:rPr>
      </w:pPr>
    </w:p>
    <w:p w14:paraId="6800853C">
      <w:pPr>
        <w:pStyle w:val="3"/>
        <w:spacing w:line="360" w:lineRule="auto"/>
        <w:rPr>
          <w:color w:val="auto"/>
          <w:highlight w:val="none"/>
        </w:rPr>
      </w:pPr>
    </w:p>
    <w:p w14:paraId="5A7E61FF">
      <w:pPr>
        <w:spacing w:line="360" w:lineRule="auto"/>
        <w:rPr>
          <w:color w:val="auto"/>
          <w:highlight w:val="none"/>
        </w:rPr>
      </w:pPr>
    </w:p>
    <w:p w14:paraId="41E83152">
      <w:pPr>
        <w:pStyle w:val="4"/>
        <w:spacing w:line="360" w:lineRule="auto"/>
        <w:rPr>
          <w:rFonts w:hint="default"/>
          <w:color w:val="auto"/>
          <w:highlight w:val="none"/>
        </w:rPr>
      </w:pPr>
    </w:p>
    <w:p w14:paraId="55C069FF">
      <w:pPr>
        <w:spacing w:line="360" w:lineRule="auto"/>
        <w:rPr>
          <w:color w:val="auto"/>
          <w:highlight w:val="none"/>
        </w:rPr>
      </w:pPr>
    </w:p>
    <w:p w14:paraId="20368753">
      <w:pPr>
        <w:pStyle w:val="4"/>
        <w:spacing w:line="360" w:lineRule="auto"/>
        <w:rPr>
          <w:rFonts w:hint="default"/>
          <w:color w:val="auto"/>
          <w:highlight w:val="none"/>
        </w:rPr>
      </w:pPr>
    </w:p>
    <w:p w14:paraId="2507E28E">
      <w:pPr>
        <w:spacing w:line="360" w:lineRule="auto"/>
        <w:rPr>
          <w:color w:val="auto"/>
          <w:highlight w:val="none"/>
        </w:rPr>
      </w:pPr>
    </w:p>
    <w:p w14:paraId="68F7C44C">
      <w:pPr>
        <w:pStyle w:val="4"/>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8"/>
        <w:spacing w:line="360" w:lineRule="auto"/>
        <w:ind w:firstLine="210"/>
        <w:rPr>
          <w:color w:val="auto"/>
          <w:highlight w:val="none"/>
        </w:rPr>
      </w:pPr>
    </w:p>
    <w:p w14:paraId="6326FD37">
      <w:pPr>
        <w:pStyle w:val="5"/>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3"/>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1CA5D428">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45CF409D">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0"/>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3"/>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4"/>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4"/>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0"/>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品目名称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4"/>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0"/>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4"/>
        <w:spacing w:line="360" w:lineRule="auto"/>
        <w:rPr>
          <w:rFonts w:ascii="宋体" w:hAnsi="宋体" w:cs="宋体"/>
          <w:color w:val="auto"/>
          <w:sz w:val="24"/>
          <w:highlight w:val="none"/>
        </w:rPr>
      </w:pPr>
    </w:p>
    <w:p w14:paraId="5321318A">
      <w:pPr>
        <w:pStyle w:val="14"/>
        <w:spacing w:line="360" w:lineRule="auto"/>
        <w:rPr>
          <w:rFonts w:ascii="宋体" w:hAnsi="宋体" w:cs="宋体"/>
          <w:color w:val="auto"/>
          <w:sz w:val="24"/>
          <w:highlight w:val="none"/>
        </w:rPr>
      </w:pPr>
    </w:p>
    <w:p w14:paraId="3C82014B">
      <w:pPr>
        <w:pStyle w:val="14"/>
        <w:spacing w:line="360" w:lineRule="auto"/>
        <w:rPr>
          <w:rFonts w:ascii="宋体" w:hAnsi="宋体" w:cs="宋体"/>
          <w:color w:val="auto"/>
          <w:sz w:val="24"/>
          <w:highlight w:val="none"/>
        </w:rPr>
      </w:pPr>
    </w:p>
    <w:p w14:paraId="3726D4AE">
      <w:pPr>
        <w:pStyle w:val="14"/>
        <w:spacing w:line="360" w:lineRule="auto"/>
        <w:rPr>
          <w:rFonts w:ascii="宋体" w:hAnsi="宋体" w:cs="宋体"/>
          <w:color w:val="auto"/>
          <w:sz w:val="24"/>
          <w:highlight w:val="none"/>
        </w:rPr>
      </w:pPr>
    </w:p>
    <w:p w14:paraId="0F16B34A">
      <w:pPr>
        <w:pStyle w:val="14"/>
        <w:spacing w:line="360" w:lineRule="auto"/>
        <w:rPr>
          <w:rFonts w:ascii="宋体" w:hAnsi="宋体" w:cs="宋体"/>
          <w:color w:val="auto"/>
          <w:sz w:val="24"/>
          <w:highlight w:val="none"/>
        </w:rPr>
      </w:pPr>
    </w:p>
    <w:p w14:paraId="73F56BF6">
      <w:pPr>
        <w:pStyle w:val="14"/>
        <w:spacing w:line="360" w:lineRule="auto"/>
        <w:rPr>
          <w:rFonts w:ascii="宋体" w:hAnsi="宋体" w:cs="宋体"/>
          <w:color w:val="auto"/>
          <w:sz w:val="24"/>
          <w:highlight w:val="none"/>
        </w:rPr>
      </w:pPr>
    </w:p>
    <w:p w14:paraId="61FA2276">
      <w:pPr>
        <w:pStyle w:val="14"/>
        <w:spacing w:line="360" w:lineRule="auto"/>
        <w:rPr>
          <w:rFonts w:ascii="宋体" w:hAnsi="宋体" w:cs="宋体"/>
          <w:color w:val="auto"/>
          <w:sz w:val="24"/>
          <w:highlight w:val="none"/>
        </w:rPr>
      </w:pPr>
    </w:p>
    <w:p w14:paraId="468F1230">
      <w:pPr>
        <w:pStyle w:val="14"/>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4"/>
        <w:spacing w:line="360" w:lineRule="auto"/>
        <w:rPr>
          <w:rFonts w:ascii="宋体" w:hAnsi="宋体" w:cs="宋体"/>
          <w:b/>
          <w:bCs/>
          <w:color w:val="auto"/>
          <w:sz w:val="28"/>
          <w:szCs w:val="28"/>
          <w:highlight w:val="none"/>
        </w:rPr>
      </w:pPr>
    </w:p>
    <w:p w14:paraId="0776CC2D">
      <w:pPr>
        <w:pStyle w:val="14"/>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4"/>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4"/>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4"/>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4"/>
        <w:spacing w:line="360" w:lineRule="auto"/>
        <w:rPr>
          <w:rFonts w:ascii="宋体" w:hAnsi="宋体" w:cs="宋体"/>
          <w:b/>
          <w:bCs/>
          <w:color w:val="auto"/>
          <w:sz w:val="28"/>
          <w:szCs w:val="28"/>
          <w:highlight w:val="none"/>
        </w:rPr>
      </w:pPr>
    </w:p>
    <w:p w14:paraId="22A9EDD9">
      <w:pPr>
        <w:pStyle w:val="14"/>
        <w:spacing w:line="360" w:lineRule="auto"/>
        <w:rPr>
          <w:color w:val="auto"/>
          <w:highlight w:val="none"/>
        </w:rPr>
      </w:pPr>
    </w:p>
    <w:p w14:paraId="01C7C78E">
      <w:pPr>
        <w:pStyle w:val="14"/>
        <w:spacing w:line="360" w:lineRule="auto"/>
        <w:rPr>
          <w:color w:val="auto"/>
          <w:highlight w:val="none"/>
        </w:rPr>
      </w:pPr>
    </w:p>
    <w:p w14:paraId="35556AE7">
      <w:pPr>
        <w:pStyle w:val="14"/>
        <w:spacing w:line="360" w:lineRule="auto"/>
        <w:rPr>
          <w:color w:val="auto"/>
          <w:highlight w:val="none"/>
        </w:rPr>
      </w:pPr>
    </w:p>
    <w:p w14:paraId="4E1A6E85">
      <w:pPr>
        <w:pStyle w:val="14"/>
        <w:spacing w:line="360" w:lineRule="auto"/>
        <w:rPr>
          <w:color w:val="auto"/>
          <w:highlight w:val="none"/>
        </w:rPr>
      </w:pPr>
    </w:p>
    <w:p w14:paraId="46AD2750">
      <w:pPr>
        <w:pStyle w:val="14"/>
        <w:spacing w:line="360" w:lineRule="auto"/>
        <w:rPr>
          <w:color w:val="auto"/>
          <w:highlight w:val="none"/>
        </w:rPr>
      </w:pPr>
    </w:p>
    <w:p w14:paraId="1913FC5F">
      <w:pPr>
        <w:pStyle w:val="14"/>
        <w:spacing w:line="360" w:lineRule="auto"/>
        <w:rPr>
          <w:color w:val="auto"/>
          <w:highlight w:val="none"/>
        </w:rPr>
      </w:pPr>
    </w:p>
    <w:p w14:paraId="61F60254">
      <w:pPr>
        <w:pStyle w:val="14"/>
        <w:spacing w:line="360" w:lineRule="auto"/>
        <w:rPr>
          <w:color w:val="auto"/>
          <w:highlight w:val="none"/>
        </w:rPr>
      </w:pPr>
    </w:p>
    <w:p w14:paraId="02CCF8EF">
      <w:pPr>
        <w:pStyle w:val="14"/>
        <w:spacing w:line="360" w:lineRule="auto"/>
        <w:rPr>
          <w:color w:val="auto"/>
          <w:highlight w:val="none"/>
        </w:rPr>
      </w:pPr>
    </w:p>
    <w:p w14:paraId="40D9D294">
      <w:pPr>
        <w:pStyle w:val="14"/>
        <w:spacing w:line="360" w:lineRule="auto"/>
        <w:rPr>
          <w:color w:val="auto"/>
          <w:highlight w:val="none"/>
        </w:rPr>
      </w:pPr>
    </w:p>
    <w:p w14:paraId="26CFA76D">
      <w:pPr>
        <w:pStyle w:val="14"/>
        <w:spacing w:line="360" w:lineRule="auto"/>
        <w:rPr>
          <w:color w:val="auto"/>
          <w:highlight w:val="none"/>
        </w:rPr>
      </w:pPr>
    </w:p>
    <w:p w14:paraId="6236DE25">
      <w:pPr>
        <w:pStyle w:val="14"/>
        <w:spacing w:line="360" w:lineRule="auto"/>
        <w:rPr>
          <w:color w:val="auto"/>
          <w:highlight w:val="none"/>
        </w:rPr>
      </w:pPr>
    </w:p>
    <w:p w14:paraId="3DC90531">
      <w:pPr>
        <w:pStyle w:val="14"/>
        <w:spacing w:line="360" w:lineRule="auto"/>
        <w:rPr>
          <w:color w:val="auto"/>
          <w:highlight w:val="none"/>
        </w:rPr>
      </w:pPr>
    </w:p>
    <w:p w14:paraId="6810E63F">
      <w:pPr>
        <w:pStyle w:val="14"/>
        <w:spacing w:line="360" w:lineRule="auto"/>
        <w:rPr>
          <w:color w:val="auto"/>
          <w:highlight w:val="none"/>
        </w:rPr>
      </w:pPr>
    </w:p>
    <w:p w14:paraId="2D859747">
      <w:pPr>
        <w:pStyle w:val="14"/>
        <w:spacing w:line="360" w:lineRule="auto"/>
        <w:rPr>
          <w:color w:val="auto"/>
          <w:highlight w:val="none"/>
        </w:rPr>
      </w:pPr>
    </w:p>
    <w:p w14:paraId="1A9B0A73">
      <w:pPr>
        <w:pStyle w:val="14"/>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5"/>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5"/>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4"/>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5"/>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5"/>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5"/>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5"/>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5"/>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0"/>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3"/>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0"/>
        <w:tblW w:w="9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576"/>
        <w:gridCol w:w="1569"/>
        <w:gridCol w:w="1494"/>
        <w:gridCol w:w="1400"/>
        <w:gridCol w:w="1400"/>
      </w:tblGrid>
      <w:tr w14:paraId="4600A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576" w:type="dxa"/>
            <w:vAlign w:val="center"/>
          </w:tcPr>
          <w:p w14:paraId="224954FE">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品目名称</w:t>
            </w:r>
          </w:p>
        </w:tc>
        <w:tc>
          <w:tcPr>
            <w:tcW w:w="1569" w:type="dxa"/>
            <w:vAlign w:val="center"/>
          </w:tcPr>
          <w:p w14:paraId="01BA6441">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val="en-US" w:eastAsia="zh-CN"/>
              </w:rPr>
              <w:t>交付时间</w:t>
            </w:r>
          </w:p>
        </w:tc>
        <w:tc>
          <w:tcPr>
            <w:tcW w:w="1494" w:type="dxa"/>
            <w:vAlign w:val="center"/>
          </w:tcPr>
          <w:p w14:paraId="38B8ED99">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rPr>
              <w:t>数量</w:t>
            </w:r>
          </w:p>
        </w:tc>
        <w:tc>
          <w:tcPr>
            <w:tcW w:w="1400" w:type="dxa"/>
            <w:vAlign w:val="center"/>
          </w:tcPr>
          <w:p w14:paraId="58C53318">
            <w:pPr>
              <w:pStyle w:val="10"/>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投标单价</w:t>
            </w:r>
          </w:p>
        </w:tc>
        <w:tc>
          <w:tcPr>
            <w:tcW w:w="1400" w:type="dxa"/>
            <w:vAlign w:val="center"/>
          </w:tcPr>
          <w:p w14:paraId="39925705">
            <w:pPr>
              <w:pStyle w:val="10"/>
              <w:snapToGrid w:val="0"/>
              <w:spacing w:line="240" w:lineRule="auto"/>
              <w:ind w:left="-105" w:leftChars="-50" w:right="-105" w:rightChars="-50"/>
              <w:jc w:val="center"/>
              <w:rPr>
                <w:rFonts w:hint="eastAsia" w:hAnsi="宋体"/>
                <w:color w:val="auto"/>
                <w:kern w:val="2"/>
                <w:sz w:val="24"/>
                <w:highlight w:val="none"/>
                <w:lang w:val="en-US" w:eastAsia="zh-CN"/>
              </w:rPr>
            </w:pPr>
            <w:r>
              <w:rPr>
                <w:rFonts w:hint="eastAsia" w:hAnsi="宋体"/>
                <w:color w:val="auto"/>
                <w:kern w:val="2"/>
                <w:sz w:val="24"/>
                <w:highlight w:val="none"/>
                <w:lang w:val="en-US" w:eastAsia="zh-CN"/>
              </w:rPr>
              <w:t>投标总报价</w:t>
            </w:r>
          </w:p>
        </w:tc>
      </w:tr>
      <w:tr w14:paraId="0D306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576" w:type="dxa"/>
            <w:vAlign w:val="center"/>
          </w:tcPr>
          <w:p w14:paraId="62261F02">
            <w:pPr>
              <w:snapToGrid w:val="0"/>
              <w:spacing w:line="240" w:lineRule="auto"/>
              <w:jc w:val="center"/>
              <w:rPr>
                <w:rFonts w:ascii="宋体" w:hAnsi="宋体"/>
                <w:color w:val="auto"/>
                <w:sz w:val="24"/>
                <w:highlight w:val="none"/>
              </w:rPr>
            </w:pPr>
          </w:p>
        </w:tc>
        <w:tc>
          <w:tcPr>
            <w:tcW w:w="1569" w:type="dxa"/>
            <w:vAlign w:val="center"/>
          </w:tcPr>
          <w:p w14:paraId="205748A0">
            <w:pPr>
              <w:snapToGrid w:val="0"/>
              <w:spacing w:line="240" w:lineRule="auto"/>
              <w:jc w:val="center"/>
              <w:rPr>
                <w:rFonts w:ascii="宋体" w:hAnsi="宋体"/>
                <w:color w:val="auto"/>
                <w:sz w:val="24"/>
                <w:highlight w:val="none"/>
              </w:rPr>
            </w:pPr>
          </w:p>
        </w:tc>
        <w:tc>
          <w:tcPr>
            <w:tcW w:w="1494" w:type="dxa"/>
            <w:vAlign w:val="center"/>
          </w:tcPr>
          <w:p w14:paraId="5F9E2280">
            <w:pPr>
              <w:snapToGrid w:val="0"/>
              <w:spacing w:line="240" w:lineRule="auto"/>
              <w:jc w:val="center"/>
              <w:rPr>
                <w:rFonts w:ascii="宋体" w:hAnsi="宋体" w:cs="宋体"/>
                <w:color w:val="auto"/>
                <w:kern w:val="0"/>
                <w:sz w:val="24"/>
                <w:highlight w:val="none"/>
              </w:rPr>
            </w:pPr>
          </w:p>
        </w:tc>
        <w:tc>
          <w:tcPr>
            <w:tcW w:w="1400" w:type="dxa"/>
            <w:vAlign w:val="center"/>
          </w:tcPr>
          <w:p w14:paraId="2F9659AC">
            <w:pPr>
              <w:widowControl/>
              <w:spacing w:line="240" w:lineRule="auto"/>
              <w:jc w:val="left"/>
              <w:rPr>
                <w:rFonts w:ascii="宋体" w:hAnsi="宋体"/>
                <w:color w:val="auto"/>
                <w:sz w:val="24"/>
                <w:highlight w:val="none"/>
              </w:rPr>
            </w:pPr>
          </w:p>
        </w:tc>
        <w:tc>
          <w:tcPr>
            <w:tcW w:w="1400" w:type="dxa"/>
            <w:vAlign w:val="center"/>
          </w:tcPr>
          <w:p w14:paraId="35D453C9">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3"/>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F73D2"/>
    <w:rsid w:val="00F36BC9"/>
    <w:rsid w:val="011952D6"/>
    <w:rsid w:val="013A4F43"/>
    <w:rsid w:val="01730582"/>
    <w:rsid w:val="023C7365"/>
    <w:rsid w:val="02BC2FB5"/>
    <w:rsid w:val="02DD5F1F"/>
    <w:rsid w:val="03511AD9"/>
    <w:rsid w:val="03E26D51"/>
    <w:rsid w:val="03ED3BD7"/>
    <w:rsid w:val="04C91366"/>
    <w:rsid w:val="05B64224"/>
    <w:rsid w:val="05C94494"/>
    <w:rsid w:val="0696261C"/>
    <w:rsid w:val="07702EBF"/>
    <w:rsid w:val="08293E73"/>
    <w:rsid w:val="09A06EBC"/>
    <w:rsid w:val="0A751DDE"/>
    <w:rsid w:val="0B043CFB"/>
    <w:rsid w:val="0B224DC6"/>
    <w:rsid w:val="0CA2647A"/>
    <w:rsid w:val="0D2D3085"/>
    <w:rsid w:val="0D462D5E"/>
    <w:rsid w:val="0DAA7832"/>
    <w:rsid w:val="0DD979BE"/>
    <w:rsid w:val="0FBD7DE5"/>
    <w:rsid w:val="10362DC0"/>
    <w:rsid w:val="10E42CCD"/>
    <w:rsid w:val="11AD4ADB"/>
    <w:rsid w:val="11BD0AA7"/>
    <w:rsid w:val="126445BB"/>
    <w:rsid w:val="129225D0"/>
    <w:rsid w:val="14DD66A2"/>
    <w:rsid w:val="15512530"/>
    <w:rsid w:val="16810234"/>
    <w:rsid w:val="17070AD9"/>
    <w:rsid w:val="17141A67"/>
    <w:rsid w:val="17254BB9"/>
    <w:rsid w:val="175D4ED0"/>
    <w:rsid w:val="199476C8"/>
    <w:rsid w:val="1AA3690C"/>
    <w:rsid w:val="1AC71843"/>
    <w:rsid w:val="1AD364FF"/>
    <w:rsid w:val="1ADE3486"/>
    <w:rsid w:val="1AF44089"/>
    <w:rsid w:val="1B08700D"/>
    <w:rsid w:val="1B261D69"/>
    <w:rsid w:val="1B4A495B"/>
    <w:rsid w:val="1BF43CB2"/>
    <w:rsid w:val="1C7D1E5D"/>
    <w:rsid w:val="1E0F3C2B"/>
    <w:rsid w:val="1E2C09AB"/>
    <w:rsid w:val="1E897F61"/>
    <w:rsid w:val="1EB055BF"/>
    <w:rsid w:val="1ECC70CB"/>
    <w:rsid w:val="1F1C42EA"/>
    <w:rsid w:val="1F686EFF"/>
    <w:rsid w:val="213B2764"/>
    <w:rsid w:val="228A1178"/>
    <w:rsid w:val="23B23834"/>
    <w:rsid w:val="247A6A25"/>
    <w:rsid w:val="25333A88"/>
    <w:rsid w:val="25776FB2"/>
    <w:rsid w:val="26B047DC"/>
    <w:rsid w:val="26BD4622"/>
    <w:rsid w:val="26C54B2C"/>
    <w:rsid w:val="27BC5F2F"/>
    <w:rsid w:val="27C42B43"/>
    <w:rsid w:val="28C13F2B"/>
    <w:rsid w:val="2A604980"/>
    <w:rsid w:val="2A727AC6"/>
    <w:rsid w:val="2CAC44A0"/>
    <w:rsid w:val="2CC80594"/>
    <w:rsid w:val="2DDE2D69"/>
    <w:rsid w:val="2ECC1930"/>
    <w:rsid w:val="312D39F9"/>
    <w:rsid w:val="31B67ACD"/>
    <w:rsid w:val="32A907A3"/>
    <w:rsid w:val="334D7ECB"/>
    <w:rsid w:val="3503072C"/>
    <w:rsid w:val="356F257B"/>
    <w:rsid w:val="35786F8C"/>
    <w:rsid w:val="35E30AE8"/>
    <w:rsid w:val="36F5483C"/>
    <w:rsid w:val="389425B0"/>
    <w:rsid w:val="3A9D764F"/>
    <w:rsid w:val="3B112614"/>
    <w:rsid w:val="3C65673D"/>
    <w:rsid w:val="3D50551B"/>
    <w:rsid w:val="3D6C7658"/>
    <w:rsid w:val="3DC2628F"/>
    <w:rsid w:val="3DD60AE2"/>
    <w:rsid w:val="3E5C0069"/>
    <w:rsid w:val="3E7A2DAA"/>
    <w:rsid w:val="3E8B1175"/>
    <w:rsid w:val="3FB97B2C"/>
    <w:rsid w:val="40181D19"/>
    <w:rsid w:val="40BD676E"/>
    <w:rsid w:val="40FE2C84"/>
    <w:rsid w:val="417E75E8"/>
    <w:rsid w:val="41910115"/>
    <w:rsid w:val="41D908F9"/>
    <w:rsid w:val="438B3EDE"/>
    <w:rsid w:val="44F31851"/>
    <w:rsid w:val="45AA573E"/>
    <w:rsid w:val="45B275F5"/>
    <w:rsid w:val="45BA0321"/>
    <w:rsid w:val="46BC33FE"/>
    <w:rsid w:val="46EE7477"/>
    <w:rsid w:val="47BC0C07"/>
    <w:rsid w:val="483B08B4"/>
    <w:rsid w:val="489259CA"/>
    <w:rsid w:val="498B3956"/>
    <w:rsid w:val="4AE051C0"/>
    <w:rsid w:val="4BC53306"/>
    <w:rsid w:val="4C15710C"/>
    <w:rsid w:val="4C2E5FB6"/>
    <w:rsid w:val="4C9444D5"/>
    <w:rsid w:val="4C9B1D07"/>
    <w:rsid w:val="4CE2174D"/>
    <w:rsid w:val="4E141911"/>
    <w:rsid w:val="4E370E84"/>
    <w:rsid w:val="4F7C19ED"/>
    <w:rsid w:val="4FB142EA"/>
    <w:rsid w:val="513814F5"/>
    <w:rsid w:val="51497716"/>
    <w:rsid w:val="520457CB"/>
    <w:rsid w:val="522C2C59"/>
    <w:rsid w:val="539774E2"/>
    <w:rsid w:val="541A03F5"/>
    <w:rsid w:val="54C5216A"/>
    <w:rsid w:val="54D577A2"/>
    <w:rsid w:val="55357439"/>
    <w:rsid w:val="55C86A12"/>
    <w:rsid w:val="569642F6"/>
    <w:rsid w:val="589A572D"/>
    <w:rsid w:val="58C92DB8"/>
    <w:rsid w:val="5A2C4216"/>
    <w:rsid w:val="5A3433AD"/>
    <w:rsid w:val="5A35315D"/>
    <w:rsid w:val="5B761B8D"/>
    <w:rsid w:val="5D01514B"/>
    <w:rsid w:val="5DBA0782"/>
    <w:rsid w:val="5F2D396D"/>
    <w:rsid w:val="60D04179"/>
    <w:rsid w:val="62641034"/>
    <w:rsid w:val="6374691F"/>
    <w:rsid w:val="643B2EFE"/>
    <w:rsid w:val="65005919"/>
    <w:rsid w:val="658904F7"/>
    <w:rsid w:val="665A019F"/>
    <w:rsid w:val="6672068F"/>
    <w:rsid w:val="670C6B88"/>
    <w:rsid w:val="670E33AA"/>
    <w:rsid w:val="67550FD9"/>
    <w:rsid w:val="68AC5DD9"/>
    <w:rsid w:val="68C926A3"/>
    <w:rsid w:val="692857E0"/>
    <w:rsid w:val="695F2DBB"/>
    <w:rsid w:val="69B37122"/>
    <w:rsid w:val="69E70454"/>
    <w:rsid w:val="6A6C5C24"/>
    <w:rsid w:val="6A832AFB"/>
    <w:rsid w:val="6B5E6742"/>
    <w:rsid w:val="6CD40DBF"/>
    <w:rsid w:val="6D0D24E0"/>
    <w:rsid w:val="6DA050EC"/>
    <w:rsid w:val="6E0440FB"/>
    <w:rsid w:val="6EED5F9B"/>
    <w:rsid w:val="6FCC5BB0"/>
    <w:rsid w:val="72845AC6"/>
    <w:rsid w:val="72F8490A"/>
    <w:rsid w:val="73ED08CD"/>
    <w:rsid w:val="74120755"/>
    <w:rsid w:val="745C662B"/>
    <w:rsid w:val="74B308B5"/>
    <w:rsid w:val="75247769"/>
    <w:rsid w:val="753F0E71"/>
    <w:rsid w:val="75410DEE"/>
    <w:rsid w:val="75716A92"/>
    <w:rsid w:val="758D2516"/>
    <w:rsid w:val="7599235F"/>
    <w:rsid w:val="77406E00"/>
    <w:rsid w:val="7858402F"/>
    <w:rsid w:val="78D50787"/>
    <w:rsid w:val="79FE2EB5"/>
    <w:rsid w:val="7A7C6425"/>
    <w:rsid w:val="7B8F04A8"/>
    <w:rsid w:val="7C95557C"/>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2">
    <w:name w:val="Default Paragraph Font"/>
    <w:autoRedefine/>
    <w:unhideWhenUsed/>
    <w:qFormat/>
    <w:uiPriority w:val="1"/>
  </w:style>
  <w:style w:type="table" w:default="1" w:styleId="20">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autoRedefine/>
    <w:qFormat/>
    <w:uiPriority w:val="0"/>
    <w:pPr>
      <w:jc w:val="center"/>
      <w:outlineLvl w:val="0"/>
    </w:pPr>
    <w:rPr>
      <w:rFonts w:ascii="Cambria" w:hAnsi="Cambria"/>
      <w:b/>
      <w:bCs/>
      <w:kern w:val="0"/>
      <w:sz w:val="32"/>
      <w:szCs w:val="32"/>
    </w:rPr>
  </w:style>
  <w:style w:type="paragraph" w:styleId="18">
    <w:name w:val="Body Text First Indent"/>
    <w:basedOn w:val="8"/>
    <w:autoRedefine/>
    <w:qFormat/>
    <w:uiPriority w:val="0"/>
    <w:pPr>
      <w:ind w:firstLine="420" w:firstLineChars="100"/>
    </w:pPr>
    <w:rPr>
      <w:rFonts w:ascii="Times New Roman" w:hAnsi="Times New Roman"/>
      <w:szCs w:val="20"/>
    </w:rPr>
  </w:style>
  <w:style w:type="paragraph" w:styleId="19">
    <w:name w:val="Body Text First Indent 2"/>
    <w:basedOn w:val="9"/>
    <w:autoRedefine/>
    <w:qFormat/>
    <w:uiPriority w:val="99"/>
    <w:pPr>
      <w:tabs>
        <w:tab w:val="left" w:pos="4606"/>
      </w:tabs>
      <w:ind w:firstLine="420"/>
    </w:pPr>
  </w:style>
  <w:style w:type="table" w:styleId="21">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autoRedefine/>
    <w:qFormat/>
    <w:uiPriority w:val="0"/>
    <w:rPr>
      <w:b/>
      <w:bCs/>
    </w:rPr>
  </w:style>
  <w:style w:type="character" w:styleId="24">
    <w:name w:val="Hyperlink"/>
    <w:basedOn w:val="22"/>
    <w:autoRedefine/>
    <w:qFormat/>
    <w:uiPriority w:val="0"/>
    <w:rPr>
      <w:color w:val="0000FF"/>
      <w:u w:val="single"/>
    </w:rPr>
  </w:style>
  <w:style w:type="character" w:styleId="25">
    <w:name w:val="annotation reference"/>
    <w:basedOn w:val="22"/>
    <w:autoRedefine/>
    <w:qFormat/>
    <w:uiPriority w:val="0"/>
    <w:rPr>
      <w:sz w:val="21"/>
      <w:szCs w:val="21"/>
    </w:rPr>
  </w:style>
  <w:style w:type="paragraph" w:customStyle="1" w:styleId="26">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2"/>
    <w:link w:val="6"/>
    <w:autoRedefine/>
    <w:qFormat/>
    <w:uiPriority w:val="0"/>
    <w:rPr>
      <w:rFonts w:ascii="Calibri" w:hAnsi="Calibri"/>
      <w:kern w:val="2"/>
      <w:sz w:val="18"/>
      <w:szCs w:val="18"/>
    </w:rPr>
  </w:style>
  <w:style w:type="character" w:customStyle="1" w:styleId="34">
    <w:name w:val="批注框文本 Char"/>
    <w:basedOn w:val="22"/>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9143</Words>
  <Characters>9565</Characters>
  <Lines>186</Lines>
  <Paragraphs>52</Paragraphs>
  <TotalTime>0</TotalTime>
  <ScaleCrop>false</ScaleCrop>
  <LinksUpToDate>false</LinksUpToDate>
  <CharactersWithSpaces>10223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2024-12-03T02:12:22Z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117FBD630D48493D8237F03B71A220C2_13</vt:lpwstr>
  </property>
</Properties>
</file>