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宋体"/>
          <w:b/>
          <w:color w:val="auto"/>
          <w:sz w:val="72"/>
          <w:szCs w:val="72"/>
          <w:highlight w:val="none"/>
          <w:lang w:eastAsia="zh-CN"/>
        </w:rPr>
      </w:pPr>
    </w:p>
    <w:p>
      <w:pPr>
        <w:spacing w:line="360" w:lineRule="auto"/>
        <w:jc w:val="center"/>
        <w:rPr>
          <w:rFonts w:hint="eastAsia" w:ascii="宋体" w:hAnsi="宋体" w:eastAsia="宋体" w:cs="宋体"/>
          <w:b/>
          <w:color w:val="auto"/>
          <w:sz w:val="72"/>
          <w:szCs w:val="72"/>
          <w:highlight w:val="none"/>
          <w:lang w:eastAsia="zh-CN"/>
        </w:rPr>
      </w:pPr>
    </w:p>
    <w:p>
      <w:pPr>
        <w:spacing w:line="360" w:lineRule="auto"/>
        <w:jc w:val="center"/>
        <w:rPr>
          <w:rFonts w:hint="eastAsia" w:ascii="宋体" w:hAnsi="宋体" w:eastAsia="宋体" w:cs="宋体"/>
          <w:b/>
          <w:color w:val="auto"/>
          <w:sz w:val="72"/>
          <w:szCs w:val="72"/>
          <w:highlight w:val="none"/>
        </w:rPr>
      </w:pPr>
      <w:r>
        <w:rPr>
          <w:rFonts w:hint="eastAsia" w:ascii="宋体" w:hAnsi="宋体" w:cs="宋体"/>
          <w:b/>
          <w:color w:val="auto"/>
          <w:sz w:val="72"/>
          <w:szCs w:val="72"/>
          <w:highlight w:val="none"/>
          <w:lang w:eastAsia="zh-CN"/>
        </w:rPr>
        <w:t>福建省建阳兴欣织造有限责任公司门禁系统采购项目</w:t>
      </w:r>
      <w:r>
        <w:rPr>
          <w:rFonts w:hint="eastAsia" w:ascii="宋体" w:hAnsi="宋体" w:eastAsia="宋体" w:cs="宋体"/>
          <w:b/>
          <w:color w:val="auto"/>
          <w:sz w:val="72"/>
          <w:szCs w:val="72"/>
          <w:highlight w:val="none"/>
        </w:rPr>
        <w:t xml:space="preserve"> </w:t>
      </w:r>
    </w:p>
    <w:p>
      <w:pPr>
        <w:spacing w:line="360" w:lineRule="auto"/>
        <w:jc w:val="center"/>
        <w:rPr>
          <w:rFonts w:hint="eastAsia" w:ascii="宋体" w:hAnsi="宋体" w:eastAsia="宋体" w:cs="宋体"/>
          <w:b/>
          <w:color w:val="auto"/>
          <w:sz w:val="72"/>
          <w:szCs w:val="72"/>
          <w:highlight w:val="none"/>
        </w:rPr>
      </w:pPr>
      <w:r>
        <w:rPr>
          <w:rFonts w:hint="eastAsia" w:ascii="宋体" w:hAnsi="宋体" w:eastAsia="宋体" w:cs="宋体"/>
          <w:b/>
          <w:color w:val="auto"/>
          <w:sz w:val="72"/>
          <w:szCs w:val="72"/>
          <w:highlight w:val="none"/>
        </w:rPr>
        <w:t>网上竞价文件</w:t>
      </w:r>
    </w:p>
    <w:p>
      <w:pPr>
        <w:pStyle w:val="10"/>
        <w:spacing w:line="0" w:lineRule="atLeast"/>
        <w:rPr>
          <w:rFonts w:hAnsi="宋体"/>
          <w:b/>
          <w:color w:val="auto"/>
          <w:sz w:val="32"/>
          <w:highlight w:val="none"/>
        </w:rPr>
      </w:pPr>
    </w:p>
    <w:p>
      <w:pPr>
        <w:pStyle w:val="10"/>
        <w:spacing w:line="0" w:lineRule="atLeast"/>
        <w:jc w:val="center"/>
        <w:rPr>
          <w:rFonts w:hAnsi="宋体"/>
          <w:b/>
          <w:color w:val="auto"/>
          <w:sz w:val="36"/>
          <w:highlight w:val="none"/>
        </w:rPr>
      </w:pPr>
    </w:p>
    <w:p>
      <w:pPr>
        <w:pStyle w:val="10"/>
        <w:spacing w:line="0" w:lineRule="atLeast"/>
        <w:jc w:val="center"/>
        <w:rPr>
          <w:rFonts w:hAnsi="宋体"/>
          <w:b/>
          <w:color w:val="auto"/>
          <w:sz w:val="36"/>
          <w:highlight w:val="none"/>
        </w:rPr>
      </w:pPr>
    </w:p>
    <w:p>
      <w:pPr>
        <w:pStyle w:val="10"/>
        <w:spacing w:line="0" w:lineRule="atLeast"/>
        <w:jc w:val="center"/>
        <w:rPr>
          <w:rFonts w:hAnsi="宋体"/>
          <w:b/>
          <w:color w:val="auto"/>
          <w:sz w:val="36"/>
          <w:highlight w:val="none"/>
        </w:rPr>
      </w:pPr>
    </w:p>
    <w:p>
      <w:pPr>
        <w:pStyle w:val="10"/>
        <w:spacing w:line="400" w:lineRule="exact"/>
        <w:rPr>
          <w:rFonts w:hAnsi="宋体"/>
          <w:b/>
          <w:color w:val="auto"/>
          <w:sz w:val="36"/>
          <w:highlight w:val="none"/>
        </w:rPr>
      </w:pPr>
    </w:p>
    <w:p>
      <w:pPr>
        <w:pStyle w:val="10"/>
        <w:spacing w:line="640" w:lineRule="exact"/>
        <w:ind w:firstLine="643" w:firstLineChars="200"/>
        <w:rPr>
          <w:rFonts w:hint="eastAsia" w:hAnsi="宋体" w:eastAsia="宋体"/>
          <w:b/>
          <w:color w:val="auto"/>
          <w:sz w:val="32"/>
          <w:szCs w:val="32"/>
          <w:highlight w:val="none"/>
          <w:lang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JJZB-WJ-2023007-1</w:t>
      </w:r>
    </w:p>
    <w:p>
      <w:pPr>
        <w:pStyle w:val="10"/>
        <w:spacing w:line="640" w:lineRule="exact"/>
        <w:ind w:firstLine="643" w:firstLineChars="200"/>
        <w:rPr>
          <w:rFonts w:hint="eastAsia" w:hAnsi="宋体" w:eastAsia="宋体"/>
          <w:b/>
          <w:color w:val="auto"/>
          <w:sz w:val="32"/>
          <w:szCs w:val="32"/>
          <w:highlight w:val="none"/>
          <w:u w:val="single"/>
          <w:lang w:eastAsia="zh-CN"/>
        </w:rPr>
      </w:pPr>
      <w:r>
        <w:rPr>
          <w:rFonts w:hint="eastAsia" w:hAnsi="宋体"/>
          <w:b/>
          <w:color w:val="auto"/>
          <w:sz w:val="32"/>
          <w:szCs w:val="32"/>
          <w:highlight w:val="none"/>
        </w:rPr>
        <w:t>项目名称：</w:t>
      </w:r>
      <w:r>
        <w:rPr>
          <w:rFonts w:hint="eastAsia" w:hAnsi="宋体"/>
          <w:b/>
          <w:color w:val="auto"/>
          <w:sz w:val="32"/>
          <w:szCs w:val="32"/>
          <w:highlight w:val="none"/>
          <w:lang w:eastAsia="zh-CN"/>
        </w:rPr>
        <w:t>福建省建阳兴欣织造有限责任公司门禁系统采购项目</w:t>
      </w:r>
    </w:p>
    <w:p>
      <w:pPr>
        <w:pStyle w:val="10"/>
        <w:spacing w:line="640" w:lineRule="exact"/>
        <w:ind w:firstLine="643" w:firstLineChars="200"/>
        <w:rPr>
          <w:rFonts w:hAnsi="宋体"/>
          <w:b/>
          <w:color w:val="auto"/>
          <w:sz w:val="32"/>
          <w:szCs w:val="32"/>
          <w:highlight w:val="none"/>
        </w:rPr>
      </w:pPr>
      <w:r>
        <w:rPr>
          <w:rFonts w:hint="eastAsia" w:hAnsi="宋体"/>
          <w:b/>
          <w:color w:val="auto"/>
          <w:sz w:val="32"/>
          <w:szCs w:val="32"/>
          <w:highlight w:val="none"/>
        </w:rPr>
        <w:t>采</w:t>
      </w:r>
      <w:r>
        <w:rPr>
          <w:rFonts w:hint="eastAsia" w:hAnsi="宋体"/>
          <w:b/>
          <w:color w:val="auto"/>
          <w:sz w:val="32"/>
          <w:szCs w:val="32"/>
          <w:highlight w:val="none"/>
          <w:lang w:val="en-US" w:eastAsia="zh-CN"/>
        </w:rPr>
        <w:t xml:space="preserve"> </w:t>
      </w:r>
      <w:r>
        <w:rPr>
          <w:rFonts w:hint="eastAsia" w:hAnsi="宋体"/>
          <w:b/>
          <w:color w:val="auto"/>
          <w:sz w:val="32"/>
          <w:szCs w:val="32"/>
          <w:highlight w:val="none"/>
        </w:rPr>
        <w:t>购</w:t>
      </w:r>
      <w:r>
        <w:rPr>
          <w:rFonts w:hint="eastAsia" w:hAnsi="宋体"/>
          <w:b/>
          <w:color w:val="auto"/>
          <w:sz w:val="32"/>
          <w:szCs w:val="32"/>
          <w:highlight w:val="none"/>
          <w:lang w:val="en-US" w:eastAsia="zh-CN"/>
        </w:rPr>
        <w:t xml:space="preserve"> </w:t>
      </w:r>
      <w:r>
        <w:rPr>
          <w:rFonts w:hint="eastAsia" w:hAnsi="宋体"/>
          <w:b/>
          <w:color w:val="auto"/>
          <w:sz w:val="32"/>
          <w:szCs w:val="32"/>
          <w:highlight w:val="none"/>
        </w:rPr>
        <w:t>人：</w:t>
      </w:r>
      <w:r>
        <w:rPr>
          <w:rFonts w:hint="eastAsia" w:hAnsi="宋体"/>
          <w:b/>
          <w:color w:val="auto"/>
          <w:sz w:val="32"/>
          <w:szCs w:val="32"/>
          <w:highlight w:val="none"/>
          <w:lang w:eastAsia="zh-CN"/>
        </w:rPr>
        <w:t>福建省建阳兴欣织造有限责任公司</w:t>
      </w:r>
      <w:r>
        <w:rPr>
          <w:rFonts w:hint="eastAsia" w:hAnsi="宋体"/>
          <w:b/>
          <w:color w:val="auto"/>
          <w:sz w:val="32"/>
          <w:szCs w:val="32"/>
          <w:highlight w:val="none"/>
        </w:rPr>
        <w:t xml:space="preserve"> </w:t>
      </w:r>
    </w:p>
    <w:p>
      <w:pPr>
        <w:spacing w:line="500" w:lineRule="exact"/>
        <w:rPr>
          <w:rFonts w:ascii="宋体" w:hAnsi="宋体"/>
          <w:b/>
          <w:color w:val="auto"/>
          <w:sz w:val="48"/>
          <w:highlight w:val="none"/>
        </w:rPr>
      </w:pPr>
    </w:p>
    <w:p>
      <w:pPr>
        <w:pStyle w:val="4"/>
        <w:rPr>
          <w:rFonts w:hint="default"/>
          <w:color w:val="auto"/>
          <w:sz w:val="48"/>
          <w:highlight w:val="none"/>
        </w:rPr>
      </w:pPr>
    </w:p>
    <w:p>
      <w:pPr>
        <w:rPr>
          <w:color w:val="auto"/>
          <w:highlight w:val="none"/>
        </w:rPr>
      </w:pPr>
    </w:p>
    <w:p>
      <w:pPr>
        <w:spacing w:line="500" w:lineRule="exact"/>
        <w:jc w:val="center"/>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福建杰俊招标代理有限公司</w:t>
      </w:r>
    </w:p>
    <w:p>
      <w:pPr>
        <w:spacing w:line="500" w:lineRule="exact"/>
        <w:jc w:val="center"/>
        <w:rPr>
          <w:rFonts w:ascii="宋体" w:hAnsi="宋体"/>
          <w:b/>
          <w:color w:val="auto"/>
          <w:sz w:val="32"/>
          <w:szCs w:val="32"/>
          <w:highlight w:val="none"/>
        </w:rPr>
      </w:pPr>
      <w:r>
        <w:rPr>
          <w:rFonts w:hint="eastAsia" w:ascii="宋体" w:hAnsi="宋体"/>
          <w:b/>
          <w:color w:val="auto"/>
          <w:sz w:val="32"/>
          <w:szCs w:val="32"/>
          <w:highlight w:val="none"/>
        </w:rPr>
        <w:t>二〇二三年</w:t>
      </w:r>
      <w:r>
        <w:rPr>
          <w:rFonts w:hint="eastAsia" w:ascii="宋体" w:hAnsi="宋体"/>
          <w:b/>
          <w:color w:val="auto"/>
          <w:sz w:val="32"/>
          <w:szCs w:val="32"/>
          <w:highlight w:val="none"/>
          <w:lang w:eastAsia="zh-CN"/>
        </w:rPr>
        <w:t>十</w:t>
      </w:r>
      <w:r>
        <w:rPr>
          <w:rFonts w:hint="eastAsia" w:ascii="宋体" w:hAnsi="宋体"/>
          <w:b/>
          <w:color w:val="auto"/>
          <w:sz w:val="32"/>
          <w:szCs w:val="32"/>
          <w:highlight w:val="none"/>
          <w:lang w:val="en-US" w:eastAsia="zh-CN"/>
        </w:rPr>
        <w:t>二</w:t>
      </w:r>
      <w:r>
        <w:rPr>
          <w:rFonts w:hint="eastAsia" w:ascii="宋体" w:hAnsi="宋体"/>
          <w:b/>
          <w:color w:val="auto"/>
          <w:sz w:val="32"/>
          <w:szCs w:val="32"/>
          <w:highlight w:val="none"/>
        </w:rPr>
        <w:t>月</w:t>
      </w:r>
    </w:p>
    <w:p>
      <w:pPr>
        <w:keepNext w:val="0"/>
        <w:keepLines w:val="0"/>
        <w:pageBreakBefore w:val="0"/>
        <w:widowControl/>
        <w:kinsoku/>
        <w:overflowPunct/>
        <w:topLinePunct w:val="0"/>
        <w:autoSpaceDE/>
        <w:autoSpaceDN/>
        <w:bidi w:val="0"/>
        <w:adjustRightInd/>
        <w:snapToGrid/>
        <w:spacing w:line="400" w:lineRule="exact"/>
        <w:ind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福建省建阳兴欣织造有限责任公司</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福建省建阳兴欣织造有限责任公司门禁系统采购项目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bCs/>
          <w:color w:val="auto"/>
          <w:sz w:val="24"/>
          <w:highlight w:val="non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lang w:eastAsia="zh-CN"/>
        </w:rPr>
        <w:t>JJZB-WJ-2023007-1</w:t>
      </w:r>
    </w:p>
    <w:p>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bCs/>
          <w:color w:val="auto"/>
          <w:sz w:val="24"/>
          <w:highlight w:val="none"/>
          <w:lang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lang w:eastAsia="zh-CN"/>
        </w:rPr>
        <w:t>福建省建阳兴欣织造有限责任公司门禁系统采购项目</w:t>
      </w:r>
    </w:p>
    <w:p>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3.网上竞价货物（服务、工程）名称、数量及主要技术规格售后服务要求等详见“第二章 网上竞价内容及要求”</w:t>
      </w:r>
      <w:r>
        <w:rPr>
          <w:rFonts w:hint="eastAsia" w:ascii="宋体" w:hAnsi="宋体" w:eastAsia="宋体" w:cs="宋体"/>
          <w:b/>
          <w:color w:val="auto"/>
          <w:kern w:val="0"/>
          <w:sz w:val="24"/>
          <w:highlight w:val="none"/>
        </w:rPr>
        <w:t>。</w:t>
      </w:r>
    </w:p>
    <w:p>
      <w:pPr>
        <w:pStyle w:val="15"/>
        <w:keepNext w:val="0"/>
        <w:keepLines w:val="0"/>
        <w:pageBreakBefore w:val="0"/>
        <w:kinsoku/>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报名开始时间：2023年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07</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 xml:space="preserve"> 12</w:t>
      </w:r>
      <w:r>
        <w:rPr>
          <w:rFonts w:hint="eastAsia" w:ascii="宋体" w:hAnsi="宋体" w:eastAsia="宋体" w:cs="宋体"/>
          <w:color w:val="auto"/>
          <w:kern w:val="0"/>
          <w:sz w:val="24"/>
          <w:highlight w:val="none"/>
        </w:rPr>
        <w:t>:00:00</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报名截止时间：2023年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 xml:space="preserve"> </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0</w:t>
      </w:r>
      <w:r>
        <w:rPr>
          <w:rFonts w:hint="eastAsia" w:ascii="宋体" w:hAnsi="宋体" w:eastAsia="宋体" w:cs="宋体"/>
          <w:color w:val="auto"/>
          <w:kern w:val="0"/>
          <w:sz w:val="24"/>
          <w:highlight w:val="none"/>
        </w:rPr>
        <w:t>0:00</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网上竞价开始时间：2023年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13</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 xml:space="preserve"> 09</w:t>
      </w:r>
      <w:r>
        <w:rPr>
          <w:rFonts w:hint="eastAsia" w:ascii="宋体" w:hAnsi="宋体" w:eastAsia="宋体" w:cs="宋体"/>
          <w:color w:val="auto"/>
          <w:kern w:val="0"/>
          <w:sz w:val="24"/>
          <w:highlight w:val="none"/>
        </w:rPr>
        <w:t>:00:00</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网上竞价截止时间：2023年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13</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 xml:space="preserve"> 11</w:t>
      </w:r>
      <w:r>
        <w:rPr>
          <w:rFonts w:hint="eastAsia" w:ascii="宋体" w:hAnsi="宋体" w:eastAsia="宋体" w:cs="宋体"/>
          <w:color w:val="auto"/>
          <w:kern w:val="0"/>
          <w:sz w:val="24"/>
          <w:highlight w:val="none"/>
        </w:rPr>
        <w:t>:00:00</w:t>
      </w:r>
    </w:p>
    <w:p>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color w:val="auto"/>
          <w:sz w:val="24"/>
          <w:highlight w:val="none"/>
        </w:rPr>
      </w:pPr>
      <w:bookmarkStart w:id="0" w:name="_Toc21403"/>
      <w:r>
        <w:rPr>
          <w:rFonts w:hint="eastAsia" w:ascii="宋体" w:hAnsi="宋体" w:eastAsia="宋体" w:cs="宋体"/>
          <w:b/>
          <w:bCs/>
          <w:color w:val="auto"/>
          <w:sz w:val="24"/>
          <w:highlight w:val="none"/>
        </w:rPr>
        <w:t>5.供应商资格要求</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bookmarkStart w:id="9" w:name="_GoBack"/>
      <w:bookmarkEnd w:id="9"/>
    </w:p>
    <w:p>
      <w:pPr>
        <w:pStyle w:val="26"/>
        <w:keepNext w:val="0"/>
        <w:keepLines w:val="0"/>
        <w:pageBreakBefore w:val="0"/>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⑤特定资格要求（若有）</w:t>
      </w:r>
      <w:r>
        <w:rPr>
          <w:rFonts w:hint="eastAsia" w:ascii="宋体" w:hAnsi="宋体" w:eastAsia="宋体" w:cs="宋体"/>
          <w:color w:val="auto"/>
          <w:sz w:val="24"/>
          <w:highlight w:val="none"/>
          <w:lang w:eastAsia="zh-CN"/>
        </w:rPr>
        <w:t>：无</w:t>
      </w:r>
      <w:r>
        <w:rPr>
          <w:rFonts w:hint="eastAsia" w:ascii="宋体" w:hAnsi="宋体" w:eastAsia="宋体" w:cs="宋体"/>
          <w:color w:val="auto"/>
          <w:sz w:val="24"/>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ind w:firstLine="482"/>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w:t>
      </w:r>
      <w:r>
        <w:rPr>
          <w:rFonts w:hint="eastAsia" w:ascii="宋体" w:hAnsi="宋体" w:eastAsia="宋体" w:cs="宋体"/>
          <w:b/>
          <w:bCs/>
          <w:color w:val="auto"/>
          <w:sz w:val="24"/>
          <w:highlight w:val="none"/>
        </w:rPr>
        <w:t>其报名审查不合格。</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pPr>
        <w:keepNext w:val="0"/>
        <w:keepLines w:val="0"/>
        <w:pageBreakBefore w:val="0"/>
        <w:widowControl/>
        <w:shd w:val="clear"/>
        <w:kinsoku/>
        <w:overflowPunct/>
        <w:topLinePunct w:val="0"/>
        <w:autoSpaceDE/>
        <w:autoSpaceDN/>
        <w:bidi w:val="0"/>
        <w:adjustRightInd/>
        <w:snapToGrid/>
        <w:spacing w:line="400" w:lineRule="exact"/>
        <w:ind w:firstLine="482" w:firstLineChars="200"/>
        <w:jc w:val="left"/>
        <w:textAlignment w:val="auto"/>
        <w:rPr>
          <w:rStyle w:val="27"/>
          <w:rFonts w:hint="eastAsia" w:ascii="宋体" w:hAnsi="宋体" w:eastAsia="宋体" w:cs="宋体"/>
          <w:b/>
          <w:bCs/>
          <w:color w:val="auto"/>
          <w:highlight w:val="none"/>
        </w:rPr>
      </w:pPr>
      <w:r>
        <w:rPr>
          <w:rStyle w:val="27"/>
          <w:rFonts w:hint="eastAsia" w:ascii="宋体" w:hAnsi="宋体" w:eastAsia="宋体" w:cs="宋体"/>
          <w:b/>
          <w:bCs/>
          <w:color w:val="auto"/>
          <w:sz w:val="24"/>
          <w:highlight w:val="none"/>
        </w:rPr>
        <w:t>注：</w:t>
      </w:r>
      <w:r>
        <w:rPr>
          <w:rFonts w:hint="eastAsia" w:ascii="宋体" w:hAnsi="宋体" w:eastAsia="宋体" w:cs="宋体"/>
          <w:b/>
          <w:bCs/>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6.网上竞价文件售价</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名期限内，各潜在供应商可直接从采购公告附件中获取网上竞价文件。</w:t>
      </w:r>
    </w:p>
    <w:p>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color w:val="auto"/>
          <w:sz w:val="24"/>
          <w:highlight w:val="none"/>
          <w:lang w:val="en-US" w:eastAsia="zh-CN"/>
        </w:rPr>
        <w:t>1293</w:t>
      </w:r>
      <w:r>
        <w:rPr>
          <w:rFonts w:hint="eastAsia" w:ascii="宋体" w:hAnsi="宋体" w:eastAsia="宋体" w:cs="宋体"/>
          <w:color w:val="auto"/>
          <w:sz w:val="24"/>
          <w:highlight w:val="none"/>
        </w:rPr>
        <w:t>元人民币，网上竞价保证金须以对公转账、支票、汇票等非现金形式提交且应在报名截止时间前到达指定账户，</w:t>
      </w:r>
      <w:r>
        <w:rPr>
          <w:rFonts w:hint="eastAsia" w:ascii="宋体" w:hAnsi="宋体" w:eastAsia="宋体" w:cs="宋体"/>
          <w:b/>
          <w:bCs/>
          <w:color w:val="auto"/>
          <w:sz w:val="24"/>
          <w:highlight w:val="none"/>
        </w:rPr>
        <w:t>否则报名审核不合格。</w:t>
      </w:r>
      <w:r>
        <w:rPr>
          <w:rFonts w:hint="eastAsia" w:ascii="宋体" w:hAnsi="宋体" w:eastAsia="宋体" w:cs="宋体"/>
          <w:color w:val="auto"/>
          <w:sz w:val="24"/>
          <w:highlight w:val="none"/>
        </w:rPr>
        <w:t>采购代理机构将以网上竞价保证金收款银行提供的保证金到帐时间为依据进行确认。</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开 户 行：兴业银行股份有限公司福州华林支行</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p>
    <w:p>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按成交金额的差额定率累进法计算后，</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收取。</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应在领取成交通知书的同时以现金、</w:t>
      </w:r>
      <w:r>
        <w:rPr>
          <w:rFonts w:hint="eastAsia" w:ascii="宋体" w:hAnsi="宋体" w:eastAsia="宋体" w:cs="宋体"/>
          <w:color w:val="auto"/>
          <w:sz w:val="24"/>
          <w:highlight w:val="none"/>
          <w:lang w:eastAsia="zh-CN"/>
        </w:rPr>
        <w:t>转账</w:t>
      </w:r>
      <w:r>
        <w:rPr>
          <w:rFonts w:hint="eastAsia" w:ascii="宋体" w:hAnsi="宋体" w:eastAsia="宋体" w:cs="宋体"/>
          <w:color w:val="auto"/>
          <w:sz w:val="24"/>
          <w:highlight w:val="none"/>
        </w:rPr>
        <w:t>、电汇付款方式一次性向代理机构缴纳采购代理服务费。成交金额的服务费比率1％。</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10.联系方式</w:t>
      </w:r>
    </w:p>
    <w:p>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color w:val="auto"/>
          <w:sz w:val="24"/>
          <w:highlight w:val="none"/>
          <w:lang w:eastAsia="zh-CN"/>
        </w:rPr>
      </w:pPr>
      <w:r>
        <w:rPr>
          <w:rFonts w:hint="eastAsia" w:ascii="宋体" w:hAnsi="宋体" w:eastAsia="宋体" w:cs="宋体"/>
          <w:b/>
          <w:bCs/>
          <w:color w:val="auto"/>
          <w:sz w:val="24"/>
          <w:highlight w:val="none"/>
        </w:rPr>
        <w:t>采购人：</w:t>
      </w:r>
      <w:r>
        <w:rPr>
          <w:rFonts w:hint="eastAsia" w:ascii="宋体" w:hAnsi="宋体" w:cs="宋体"/>
          <w:b/>
          <w:bCs/>
          <w:color w:val="auto"/>
          <w:sz w:val="24"/>
          <w:highlight w:val="none"/>
          <w:lang w:eastAsia="zh-CN"/>
        </w:rPr>
        <w:t>福建省建阳兴欣织造有限责任公司</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w:t>
      </w:r>
      <w:r>
        <w:rPr>
          <w:rFonts w:hint="eastAsia" w:ascii="宋体" w:hAnsi="宋体" w:eastAsia="宋体" w:cs="宋体"/>
          <w:color w:val="auto"/>
          <w:sz w:val="24"/>
          <w:szCs w:val="24"/>
          <w:highlight w:val="none"/>
        </w:rPr>
        <w:t>福建省建阳市童游曼头山7号　</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联系人及电话：</w:t>
      </w:r>
      <w:r>
        <w:rPr>
          <w:rFonts w:hint="eastAsia" w:ascii="宋体" w:hAnsi="宋体" w:cs="宋体"/>
          <w:color w:val="auto"/>
          <w:sz w:val="24"/>
          <w:highlight w:val="none"/>
          <w:lang w:eastAsia="zh-CN"/>
        </w:rPr>
        <w:t>俞</w:t>
      </w:r>
      <w:r>
        <w:rPr>
          <w:rFonts w:hint="eastAsia" w:ascii="宋体" w:hAnsi="宋体" w:eastAsia="宋体" w:cs="宋体"/>
          <w:color w:val="auto"/>
          <w:sz w:val="24"/>
          <w:highlight w:val="none"/>
        </w:rPr>
        <w:t>警官</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 xml:space="preserve">0599-8071038 </w:t>
      </w:r>
    </w:p>
    <w:p>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color w:val="auto"/>
          <w:sz w:val="24"/>
          <w:highlight w:val="none"/>
          <w:lang w:eastAsia="zh-CN"/>
        </w:rPr>
      </w:pPr>
      <w:r>
        <w:rPr>
          <w:rFonts w:hint="eastAsia" w:ascii="宋体" w:hAnsi="宋体" w:eastAsia="宋体" w:cs="宋体"/>
          <w:b/>
          <w:bCs/>
          <w:color w:val="auto"/>
          <w:sz w:val="24"/>
          <w:highlight w:val="none"/>
        </w:rPr>
        <w:t>采购代理机构：</w:t>
      </w:r>
      <w:r>
        <w:rPr>
          <w:rFonts w:hint="eastAsia" w:ascii="宋体" w:hAnsi="宋体" w:eastAsia="宋体" w:cs="宋体"/>
          <w:b/>
          <w:bCs/>
          <w:color w:val="auto"/>
          <w:sz w:val="24"/>
          <w:highlight w:val="none"/>
          <w:lang w:eastAsia="zh-CN"/>
        </w:rPr>
        <w:t>福建杰俊招标代理有限公司</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w:t>
      </w:r>
      <w:r>
        <w:rPr>
          <w:rFonts w:hint="eastAsia" w:ascii="宋体" w:hAnsi="宋体" w:eastAsia="宋体" w:cs="宋体"/>
          <w:color w:val="auto"/>
          <w:sz w:val="24"/>
          <w:highlight w:val="none"/>
          <w:lang w:val="en-US" w:eastAsia="zh-CN"/>
        </w:rPr>
        <w:t>025</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项目负责人：</w:t>
      </w:r>
      <w:r>
        <w:rPr>
          <w:rFonts w:hint="eastAsia" w:ascii="宋体" w:hAnsi="宋体" w:eastAsia="宋体" w:cs="宋体"/>
          <w:color w:val="auto"/>
          <w:sz w:val="24"/>
          <w:highlight w:val="none"/>
          <w:lang w:eastAsia="zh-CN"/>
        </w:rPr>
        <w:t>蒋丽、杨俊</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11.有关本项目的相关信息（包括网上竞价文件若有修改补充），</w:t>
      </w:r>
      <w:r>
        <w:rPr>
          <w:rFonts w:hint="eastAsia" w:ascii="宋体" w:hAnsi="宋体" w:eastAsia="宋体" w:cs="宋体"/>
          <w:b/>
          <w:bCs/>
          <w:color w:val="auto"/>
          <w:sz w:val="24"/>
          <w:highlight w:val="none"/>
          <w:lang w:eastAsia="zh-CN"/>
        </w:rPr>
        <w:t>福建杰俊招标代理有限公司</w:t>
      </w:r>
      <w:r>
        <w:rPr>
          <w:rFonts w:hint="eastAsia" w:ascii="宋体" w:hAnsi="宋体" w:eastAsia="宋体" w:cs="宋体"/>
          <w:b/>
          <w:bCs/>
          <w:color w:val="auto"/>
          <w:sz w:val="24"/>
          <w:highlight w:val="none"/>
        </w:rPr>
        <w:t>将通过以下媒介发布通知，请潜在供应商随时关注相关网站，以免错漏重要信息。</w:t>
      </w:r>
    </w:p>
    <w:p>
      <w:pPr>
        <w:pStyle w:val="3"/>
        <w:keepNext w:val="0"/>
        <w:keepLines w:val="0"/>
        <w:pageBreakBefore w:val="0"/>
        <w:kinsoku/>
        <w:overflowPunct/>
        <w:topLinePunct w:val="0"/>
        <w:autoSpaceDE/>
        <w:autoSpaceDN/>
        <w:bidi w:val="0"/>
        <w:adjustRightInd/>
        <w:snapToGrid/>
        <w:spacing w:beforeAutospacing="0" w:afterAutospacing="0" w:line="400" w:lineRule="exact"/>
        <w:ind w:firstLine="480" w:firstLineChars="200"/>
        <w:textAlignment w:val="auto"/>
        <w:rPr>
          <w:rFonts w:hint="eastAsia" w:ascii="宋体" w:hAnsi="宋体" w:eastAsia="宋体" w:cs="宋体"/>
          <w:b w:val="0"/>
          <w:color w:val="auto"/>
          <w:kern w:val="2"/>
          <w:sz w:val="24"/>
          <w:szCs w:val="24"/>
          <w:highlight w:val="none"/>
        </w:rPr>
      </w:pPr>
      <w:r>
        <w:rPr>
          <w:rFonts w:hint="eastAsia" w:cs="宋体"/>
          <w:b w:val="0"/>
          <w:color w:val="auto"/>
          <w:kern w:val="2"/>
          <w:sz w:val="24"/>
          <w:szCs w:val="24"/>
          <w:highlight w:val="none"/>
          <w:lang w:val="en-US" w:eastAsia="zh-CN"/>
        </w:rPr>
        <w:t>（1）</w:t>
      </w:r>
      <w:r>
        <w:rPr>
          <w:rFonts w:hint="eastAsia" w:ascii="宋体" w:hAnsi="宋体" w:eastAsia="宋体" w:cs="宋体"/>
          <w:b w:val="0"/>
          <w:color w:val="auto"/>
          <w:kern w:val="2"/>
          <w:sz w:val="24"/>
          <w:szCs w:val="24"/>
          <w:highlight w:val="none"/>
          <w:lang w:val="en-US" w:eastAsia="zh-CN"/>
        </w:rPr>
        <w:t>福建省国资采购平台，https://ygcg.fjcqjy.com。</w:t>
      </w:r>
    </w:p>
    <w:p>
      <w:pPr>
        <w:keepNext w:val="0"/>
        <w:keepLines w:val="0"/>
        <w:pageBreakBefore w:val="0"/>
        <w:kinsoku/>
        <w:overflowPunct/>
        <w:topLinePunct w:val="0"/>
        <w:autoSpaceDE/>
        <w:autoSpaceDN/>
        <w:bidi w:val="0"/>
        <w:adjustRightInd/>
        <w:snapToGrid/>
        <w:spacing w:line="400" w:lineRule="exact"/>
        <w:ind w:left="480"/>
        <w:textAlignment w:val="auto"/>
        <w:rPr>
          <w:rFonts w:hint="eastAsia" w:ascii="宋体" w:hAnsi="宋体" w:eastAsia="宋体" w:cs="宋体"/>
          <w:color w:val="auto"/>
          <w:sz w:val="24"/>
          <w:highlight w:val="none"/>
        </w:rPr>
      </w:pP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2</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lang w:eastAsia="zh-CN"/>
        </w:rPr>
        <w:t>福建杰俊招标代理有限公司，网址：http://www.fjjjzb.com。</w:t>
      </w:r>
    </w:p>
    <w:p>
      <w:pPr>
        <w:spacing w:line="360" w:lineRule="auto"/>
        <w:rPr>
          <w:color w:val="auto"/>
          <w:highlight w:val="none"/>
        </w:rPr>
      </w:pPr>
    </w:p>
    <w:p>
      <w:pPr>
        <w:spacing w:line="360" w:lineRule="auto"/>
        <w:rPr>
          <w:color w:val="auto"/>
          <w:highlight w:val="none"/>
        </w:rPr>
      </w:pPr>
      <w:r>
        <w:rPr>
          <w:color w:val="auto"/>
          <w:highlight w:val="none"/>
        </w:rPr>
        <w:br w:type="page"/>
      </w:r>
    </w:p>
    <w:p>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2.一个供应商只能提交一个响应文件。存在单位负责人为同一人或者存在直接控股、管理关系的不同供应商，不得参加同一合同包项下的网上竞价活动。</w:t>
      </w:r>
    </w:p>
    <w:p>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27"/>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val="0"/>
          <w:bCs w:val="0"/>
          <w:color w:val="auto"/>
          <w:sz w:val="24"/>
          <w:highlight w:val="none"/>
        </w:rPr>
        <w:t>本项目提供整体设计、规范编制或者项目管理、监理、检测等服务的供应商：</w:t>
      </w:r>
      <w:r>
        <w:rPr>
          <w:rFonts w:hint="eastAsia" w:ascii="宋体" w:hAnsi="宋体" w:cs="宋体"/>
          <w:b w:val="0"/>
          <w:bCs w:val="0"/>
          <w:color w:val="auto"/>
          <w:sz w:val="24"/>
          <w:highlight w:val="none"/>
          <w:lang w:val="en-US" w:eastAsia="zh-CN"/>
        </w:rPr>
        <w:t>/</w:t>
      </w:r>
      <w:r>
        <w:rPr>
          <w:rFonts w:hint="eastAsia" w:ascii="宋体" w:hAnsi="宋体" w:cs="宋体"/>
          <w:b w:val="0"/>
          <w:bCs w:val="0"/>
          <w:color w:val="auto"/>
          <w:sz w:val="24"/>
          <w:highlight w:val="none"/>
        </w:rPr>
        <w:t>。</w:t>
      </w:r>
    </w:p>
    <w:p>
      <w:pPr>
        <w:pStyle w:val="19"/>
        <w:keepNext w:val="0"/>
        <w:keepLines w:val="0"/>
        <w:pageBreakBefore w:val="0"/>
        <w:kinsoku/>
        <w:topLinePunct w:val="0"/>
        <w:bidi w:val="0"/>
        <w:spacing w:after="0" w:line="400" w:lineRule="exact"/>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r>
        <w:rPr>
          <w:rFonts w:hint="eastAsia" w:ascii="宋体" w:hAnsi="宋体" w:cs="宋体"/>
          <w:b/>
          <w:bCs/>
          <w:color w:val="auto"/>
          <w:sz w:val="24"/>
          <w:highlight w:val="none"/>
        </w:rPr>
        <w:t>须提供承诺函，格式详见第五章。</w:t>
      </w:r>
    </w:p>
    <w:p>
      <w:pPr>
        <w:pStyle w:val="19"/>
        <w:keepNext w:val="0"/>
        <w:keepLines w:val="0"/>
        <w:pageBreakBefore w:val="0"/>
        <w:kinsoku/>
        <w:topLinePunct w:val="0"/>
        <w:bidi w:val="0"/>
        <w:spacing w:after="0" w:line="400" w:lineRule="exact"/>
        <w:ind w:left="0" w:leftChars="0" w:firstLine="480" w:firstLineChars="200"/>
        <w:rPr>
          <w:rFonts w:ascii="宋体" w:hAnsi="宋体" w:cs="宋体"/>
          <w:b/>
          <w:bCs/>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r>
        <w:rPr>
          <w:rFonts w:hint="eastAsia" w:ascii="宋体" w:hAnsi="宋体" w:cs="宋体"/>
          <w:b/>
          <w:bCs/>
          <w:color w:val="auto"/>
          <w:sz w:val="24"/>
          <w:highlight w:val="none"/>
        </w:rPr>
        <w:t>须提供承诺函，格式详见第五章。</w:t>
      </w:r>
    </w:p>
    <w:p>
      <w:pPr>
        <w:keepNext w:val="0"/>
        <w:keepLines w:val="0"/>
        <w:pageBreakBefore w:val="0"/>
        <w:kinsoku/>
        <w:topLinePunct w:val="0"/>
        <w:bidi w:val="0"/>
        <w:spacing w:line="400" w:lineRule="exact"/>
        <w:ind w:firstLine="482" w:firstLineChars="200"/>
        <w:rPr>
          <w:rStyle w:val="27"/>
          <w:rFonts w:ascii="宋体" w:hAnsi="宋体"/>
          <w:b/>
          <w:bCs/>
          <w:color w:val="auto"/>
          <w:kern w:val="0"/>
          <w:sz w:val="24"/>
          <w:highlight w:val="none"/>
        </w:rPr>
      </w:pPr>
      <w:r>
        <w:rPr>
          <w:rStyle w:val="27"/>
          <w:rFonts w:hint="eastAsia" w:ascii="宋体" w:hAnsi="宋体"/>
          <w:b/>
          <w:bCs/>
          <w:color w:val="auto"/>
          <w:kern w:val="0"/>
          <w:sz w:val="24"/>
          <w:highlight w:val="none"/>
        </w:rPr>
        <w:t>二、报名须知</w:t>
      </w:r>
    </w:p>
    <w:p>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27"/>
          <w:rFonts w:ascii="宋体" w:hAnsi="宋体" w:cs="宋体"/>
          <w:b/>
          <w:bCs/>
          <w:color w:val="auto"/>
          <w:kern w:val="0"/>
          <w:sz w:val="24"/>
          <w:highlight w:val="none"/>
        </w:rPr>
      </w:pPr>
      <w:r>
        <w:rPr>
          <w:rStyle w:val="27"/>
          <w:rFonts w:hint="eastAsia" w:ascii="宋体" w:hAnsi="宋体" w:cs="宋体"/>
          <w:color w:val="auto"/>
          <w:kern w:val="0"/>
          <w:sz w:val="24"/>
          <w:highlight w:val="none"/>
        </w:rPr>
        <w:t>1.供应商应在网上竞价平台（网址：http://www.fjjjzb.com/）上进行注册、报名（上传响应文件）、网上竞价等相关操作，具体操作指南详见网上竞价平台（网址：</w:t>
      </w:r>
      <w:r>
        <w:rPr>
          <w:rFonts w:hint="eastAsia" w:ascii="宋体" w:hAnsi="宋体" w:eastAsia="宋体" w:cs="宋体"/>
          <w:color w:val="auto"/>
          <w:sz w:val="24"/>
          <w:szCs w:val="24"/>
          <w:highlight w:val="none"/>
        </w:rPr>
        <w:t>http://www.fjjjzb.com/xiazai/</w:t>
      </w:r>
      <w:r>
        <w:rPr>
          <w:rStyle w:val="27"/>
          <w:rFonts w:hint="eastAsia" w:ascii="宋体" w:hAnsi="宋体" w:cs="宋体"/>
          <w:color w:val="auto"/>
          <w:kern w:val="0"/>
          <w:sz w:val="24"/>
          <w:highlight w:val="none"/>
        </w:rPr>
        <w:t>）</w:t>
      </w:r>
      <w:r>
        <w:rPr>
          <w:rStyle w:val="27"/>
          <w:rFonts w:hint="eastAsia" w:ascii="宋体" w:hAnsi="宋体" w:cs="宋体"/>
          <w:b w:val="0"/>
          <w:bCs w:val="0"/>
          <w:color w:val="auto"/>
          <w:kern w:val="0"/>
          <w:sz w:val="24"/>
          <w:highlight w:val="none"/>
        </w:rPr>
        <w:t>。</w:t>
      </w:r>
      <w:r>
        <w:rPr>
          <w:rStyle w:val="27"/>
          <w:rFonts w:hint="eastAsia" w:ascii="宋体" w:hAnsi="宋体" w:cs="宋体"/>
          <w:b/>
          <w:bCs/>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pPr>
        <w:keepNext w:val="0"/>
        <w:keepLines w:val="0"/>
        <w:pageBreakBefore w:val="0"/>
        <w:widowControl/>
        <w:shd w:val="clear"/>
        <w:kinsoku/>
        <w:topLinePunct w:val="0"/>
        <w:bidi w:val="0"/>
        <w:spacing w:line="400" w:lineRule="exact"/>
        <w:ind w:firstLine="482" w:firstLineChars="200"/>
        <w:jc w:val="left"/>
        <w:rPr>
          <w:rFonts w:ascii="宋体" w:hAnsi="宋体"/>
          <w:color w:val="auto"/>
          <w:sz w:val="24"/>
          <w:highlight w:val="none"/>
        </w:rPr>
      </w:pPr>
      <w:r>
        <w:rPr>
          <w:rFonts w:hint="eastAsia" w:ascii="宋体" w:hAnsi="宋体" w:cs="宋体"/>
          <w:b/>
          <w:bCs/>
          <w:color w:val="auto"/>
          <w:sz w:val="24"/>
          <w:highlight w:val="none"/>
        </w:rPr>
        <w:t>2.供应商须</w:t>
      </w:r>
      <w:r>
        <w:rPr>
          <w:rStyle w:val="27"/>
          <w:rFonts w:hint="eastAsia" w:ascii="宋体" w:hAnsi="宋体" w:cs="宋体"/>
          <w:b/>
          <w:bCs/>
          <w:color w:val="auto"/>
          <w:sz w:val="24"/>
          <w:highlight w:val="none"/>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w:t>
      </w:r>
      <w:r>
        <w:rPr>
          <w:rStyle w:val="27"/>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pPr>
        <w:pStyle w:val="15"/>
        <w:keepNext w:val="0"/>
        <w:keepLines w:val="0"/>
        <w:pageBreakBefore w:val="0"/>
        <w:shd w:val="clear"/>
        <w:kinsoku/>
        <w:topLinePunct w:val="0"/>
        <w:bidi w:val="0"/>
        <w:spacing w:before="0" w:beforeAutospacing="0" w:after="0" w:afterAutospacing="0" w:line="400" w:lineRule="exact"/>
        <w:ind w:firstLine="480"/>
        <w:rPr>
          <w:rStyle w:val="27"/>
          <w:rFonts w:ascii="Times New Roman" w:hAnsi="Times New Roman" w:cs="Times New Roman"/>
          <w:b/>
          <w:bCs/>
          <w:color w:val="auto"/>
          <w:sz w:val="24"/>
          <w:highlight w:val="none"/>
        </w:rPr>
      </w:pPr>
      <w:r>
        <w:rPr>
          <w:rFonts w:hint="eastAsia"/>
          <w:color w:val="auto"/>
          <w:highlight w:val="none"/>
        </w:rPr>
        <w:t>3.</w:t>
      </w:r>
      <w:r>
        <w:rPr>
          <w:rStyle w:val="27"/>
          <w:rFonts w:hint="eastAsia"/>
          <w:color w:val="auto"/>
          <w:sz w:val="24"/>
          <w:highlight w:val="none"/>
        </w:rPr>
        <w:t>供应商提交的响应文件符合网上竞价文件要求的（即不存在网上竞价文件中规定的无效响应情形的）方可在网上竞价时间内参与竞价</w:t>
      </w:r>
      <w:r>
        <w:rPr>
          <w:rStyle w:val="27"/>
          <w:color w:val="auto"/>
          <w:sz w:val="24"/>
          <w:highlight w:val="none"/>
        </w:rPr>
        <w:t>。</w:t>
      </w:r>
      <w:r>
        <w:rPr>
          <w:rStyle w:val="27"/>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27"/>
          <w:rFonts w:ascii="Times New Roman" w:hAnsi="Times New Roman" w:cs="Times New Roman"/>
          <w:color w:val="auto"/>
          <w:highlight w:val="none"/>
        </w:rPr>
        <w:t>力</w:t>
      </w:r>
      <w:r>
        <w:rPr>
          <w:rStyle w:val="27"/>
          <w:rFonts w:hint="eastAsia" w:ascii="Times New Roman" w:hAnsi="Times New Roman" w:cs="Times New Roman"/>
          <w:color w:val="auto"/>
          <w:sz w:val="24"/>
          <w:highlight w:val="none"/>
        </w:rPr>
        <w:t>。</w:t>
      </w:r>
      <w:r>
        <w:rPr>
          <w:rStyle w:val="27"/>
          <w:rFonts w:hint="eastAsia" w:ascii="Times New Roman" w:hAnsi="Times New Roman" w:cs="Times New Roman"/>
          <w:b/>
          <w:bCs/>
          <w:color w:val="auto"/>
          <w:sz w:val="24"/>
          <w:highlight w:val="none"/>
        </w:rPr>
        <w:t>若合格供应商数量不足三家的（除“</w:t>
      </w:r>
      <w:r>
        <w:rPr>
          <w:rStyle w:val="27"/>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7"/>
          <w:rFonts w:hint="eastAsia" w:ascii="Times New Roman" w:hAnsi="Times New Roman" w:cs="Times New Roman"/>
          <w:b/>
          <w:bCs/>
          <w:color w:val="auto"/>
          <w:sz w:val="24"/>
          <w:highlight w:val="none"/>
        </w:rPr>
        <w:t>”情形外），</w:t>
      </w:r>
      <w:r>
        <w:rPr>
          <w:rStyle w:val="27"/>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pPr>
        <w:pStyle w:val="15"/>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3"/>
          <w:rFonts w:hint="eastAsia"/>
          <w:color w:val="auto"/>
          <w:highlight w:val="none"/>
        </w:rPr>
        <w:t>报名审核不合格，视为无效响应：</w:t>
      </w:r>
    </w:p>
    <w:p>
      <w:pPr>
        <w:pStyle w:val="28"/>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pPr>
        <w:pStyle w:val="28"/>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pPr>
        <w:pStyle w:val="28"/>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27"/>
          <w:rFonts w:hint="eastAsia" w:ascii="宋体" w:hAnsi="宋体"/>
          <w:b/>
          <w:bCs/>
          <w:color w:val="auto"/>
          <w:kern w:val="0"/>
          <w:sz w:val="24"/>
          <w:highlight w:val="none"/>
        </w:rPr>
        <w:t>三、网上</w:t>
      </w:r>
      <w:r>
        <w:rPr>
          <w:rStyle w:val="27"/>
          <w:rFonts w:ascii="宋体" w:hAnsi="宋体"/>
          <w:b/>
          <w:bCs/>
          <w:color w:val="auto"/>
          <w:kern w:val="0"/>
          <w:sz w:val="24"/>
          <w:highlight w:val="none"/>
        </w:rPr>
        <w:t>竞价规则</w:t>
      </w:r>
    </w:p>
    <w:p>
      <w:pPr>
        <w:pStyle w:val="15"/>
        <w:keepNext w:val="0"/>
        <w:keepLines w:val="0"/>
        <w:pageBreakBefore w:val="0"/>
        <w:kinsoku/>
        <w:topLinePunct w:val="0"/>
        <w:bidi w:val="0"/>
        <w:spacing w:before="0" w:beforeAutospacing="0" w:after="0" w:afterAutospacing="0" w:line="400" w:lineRule="exact"/>
        <w:ind w:firstLine="480"/>
        <w:rPr>
          <w:rStyle w:val="27"/>
          <w:color w:val="auto"/>
          <w:kern w:val="0"/>
          <w:sz w:val="24"/>
          <w:highlight w:val="none"/>
        </w:rPr>
      </w:pPr>
      <w:r>
        <w:rPr>
          <w:rFonts w:hint="eastAsia"/>
          <w:color w:val="auto"/>
          <w:highlight w:val="none"/>
        </w:rPr>
        <w:t>1.</w:t>
      </w:r>
      <w:r>
        <w:rPr>
          <w:rStyle w:val="27"/>
          <w:color w:val="auto"/>
          <w:kern w:val="0"/>
          <w:sz w:val="24"/>
          <w:highlight w:val="none"/>
        </w:rPr>
        <w:t>网上竞价的报价时限为</w:t>
      </w:r>
      <w:r>
        <w:rPr>
          <w:rStyle w:val="27"/>
          <w:rFonts w:hint="eastAsia"/>
          <w:color w:val="auto"/>
          <w:kern w:val="0"/>
          <w:sz w:val="24"/>
          <w:highlight w:val="none"/>
        </w:rPr>
        <w:t>网上竞价开始时间起至网上竞价截止时间止，在此期间内</w:t>
      </w:r>
      <w:r>
        <w:rPr>
          <w:rStyle w:val="27"/>
          <w:color w:val="auto"/>
          <w:kern w:val="0"/>
          <w:sz w:val="24"/>
          <w:highlight w:val="none"/>
        </w:rPr>
        <w:t>，报名审核</w:t>
      </w:r>
      <w:r>
        <w:rPr>
          <w:rStyle w:val="27"/>
          <w:rFonts w:hint="eastAsia"/>
          <w:color w:val="auto"/>
          <w:kern w:val="0"/>
          <w:sz w:val="24"/>
          <w:highlight w:val="none"/>
        </w:rPr>
        <w:t>通过</w:t>
      </w:r>
      <w:r>
        <w:rPr>
          <w:rStyle w:val="27"/>
          <w:color w:val="auto"/>
          <w:kern w:val="0"/>
          <w:sz w:val="24"/>
          <w:highlight w:val="none"/>
        </w:rPr>
        <w:t>的</w:t>
      </w:r>
      <w:r>
        <w:rPr>
          <w:rStyle w:val="27"/>
          <w:rFonts w:hint="eastAsia"/>
          <w:color w:val="auto"/>
          <w:kern w:val="0"/>
          <w:sz w:val="24"/>
          <w:highlight w:val="none"/>
        </w:rPr>
        <w:t>供应商</w:t>
      </w:r>
      <w:r>
        <w:rPr>
          <w:rStyle w:val="27"/>
          <w:color w:val="auto"/>
          <w:kern w:val="0"/>
          <w:sz w:val="24"/>
          <w:highlight w:val="none"/>
        </w:rPr>
        <w:t>可通过</w:t>
      </w:r>
      <w:r>
        <w:rPr>
          <w:rStyle w:val="27"/>
          <w:rFonts w:hint="eastAsia"/>
          <w:color w:val="auto"/>
          <w:kern w:val="0"/>
          <w:sz w:val="24"/>
          <w:highlight w:val="none"/>
        </w:rPr>
        <w:t>网上竞价平台</w:t>
      </w:r>
      <w:r>
        <w:rPr>
          <w:rStyle w:val="27"/>
          <w:color w:val="auto"/>
          <w:kern w:val="0"/>
          <w:sz w:val="24"/>
          <w:highlight w:val="none"/>
        </w:rPr>
        <w:t>参与</w:t>
      </w:r>
      <w:r>
        <w:rPr>
          <w:rStyle w:val="27"/>
          <w:rFonts w:hint="eastAsia"/>
          <w:color w:val="auto"/>
          <w:kern w:val="0"/>
          <w:sz w:val="24"/>
          <w:highlight w:val="none"/>
        </w:rPr>
        <w:t>网上</w:t>
      </w:r>
      <w:r>
        <w:rPr>
          <w:rStyle w:val="27"/>
          <w:color w:val="auto"/>
          <w:kern w:val="0"/>
          <w:sz w:val="24"/>
          <w:highlight w:val="none"/>
        </w:rPr>
        <w:t>竞价（不限报价次数，在规定时间内提交报价均可）。</w:t>
      </w:r>
      <w:r>
        <w:rPr>
          <w:rFonts w:hint="eastAsia"/>
          <w:b/>
          <w:bCs/>
          <w:color w:val="auto"/>
          <w:highlight w:val="none"/>
        </w:rPr>
        <w:t>至网上竞价截止时间止，若提交报价的供应商数量不足三家的</w:t>
      </w:r>
      <w:r>
        <w:rPr>
          <w:rStyle w:val="27"/>
          <w:rFonts w:hint="eastAsia" w:ascii="Times New Roman" w:hAnsi="Times New Roman" w:cs="Times New Roman"/>
          <w:b/>
          <w:bCs/>
          <w:color w:val="auto"/>
          <w:sz w:val="24"/>
          <w:highlight w:val="none"/>
        </w:rPr>
        <w:t>（除“</w:t>
      </w:r>
      <w:r>
        <w:rPr>
          <w:rStyle w:val="27"/>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7"/>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pPr>
        <w:keepNext w:val="0"/>
        <w:keepLines w:val="0"/>
        <w:pageBreakBefore w:val="0"/>
        <w:widowControl/>
        <w:kinsoku/>
        <w:topLinePunct w:val="0"/>
        <w:bidi w:val="0"/>
        <w:spacing w:line="400" w:lineRule="exact"/>
        <w:ind w:firstLine="480" w:firstLineChars="200"/>
        <w:jc w:val="left"/>
        <w:textAlignment w:val="baseline"/>
        <w:rPr>
          <w:rStyle w:val="27"/>
          <w:rFonts w:ascii="宋体" w:hAnsi="宋体"/>
          <w:color w:val="auto"/>
          <w:kern w:val="0"/>
          <w:sz w:val="24"/>
          <w:highlight w:val="none"/>
        </w:rPr>
      </w:pPr>
      <w:r>
        <w:rPr>
          <w:rStyle w:val="27"/>
          <w:rFonts w:hint="eastAsia" w:ascii="宋体" w:hAnsi="宋体"/>
          <w:color w:val="auto"/>
          <w:kern w:val="0"/>
          <w:sz w:val="24"/>
          <w:highlight w:val="none"/>
        </w:rPr>
        <w:t>2.</w:t>
      </w:r>
      <w:r>
        <w:rPr>
          <w:rStyle w:val="27"/>
          <w:rFonts w:hint="eastAsia" w:ascii="宋体" w:hAnsi="宋体"/>
          <w:b/>
          <w:bCs/>
          <w:color w:val="auto"/>
          <w:kern w:val="0"/>
          <w:sz w:val="24"/>
          <w:highlight w:val="none"/>
        </w:rPr>
        <w:t>供应商</w:t>
      </w:r>
      <w:r>
        <w:rPr>
          <w:rStyle w:val="27"/>
          <w:rFonts w:ascii="宋体" w:hAnsi="宋体"/>
          <w:b/>
          <w:bCs/>
          <w:color w:val="auto"/>
          <w:kern w:val="0"/>
          <w:sz w:val="24"/>
          <w:highlight w:val="none"/>
        </w:rPr>
        <w:t>首次提交的报价</w:t>
      </w:r>
      <w:r>
        <w:rPr>
          <w:rStyle w:val="27"/>
          <w:rFonts w:hint="eastAsia" w:ascii="宋体" w:hAnsi="宋体"/>
          <w:b/>
          <w:bCs/>
          <w:color w:val="auto"/>
          <w:kern w:val="0"/>
          <w:sz w:val="24"/>
          <w:highlight w:val="none"/>
        </w:rPr>
        <w:t>总价</w:t>
      </w:r>
      <w:r>
        <w:rPr>
          <w:rStyle w:val="27"/>
          <w:rFonts w:ascii="宋体" w:hAnsi="宋体"/>
          <w:b/>
          <w:bCs/>
          <w:color w:val="auto"/>
          <w:kern w:val="0"/>
          <w:sz w:val="24"/>
          <w:highlight w:val="none"/>
        </w:rPr>
        <w:t>须</w:t>
      </w:r>
      <w:r>
        <w:rPr>
          <w:rStyle w:val="27"/>
          <w:rFonts w:hint="eastAsia" w:ascii="宋体" w:hAnsi="宋体"/>
          <w:b/>
          <w:bCs/>
          <w:color w:val="auto"/>
          <w:kern w:val="0"/>
          <w:sz w:val="24"/>
          <w:highlight w:val="none"/>
        </w:rPr>
        <w:t>低于</w:t>
      </w:r>
      <w:r>
        <w:rPr>
          <w:rStyle w:val="27"/>
          <w:rFonts w:ascii="宋体" w:hAnsi="宋体"/>
          <w:b/>
          <w:bCs/>
          <w:color w:val="auto"/>
          <w:kern w:val="0"/>
          <w:sz w:val="24"/>
          <w:highlight w:val="none"/>
        </w:rPr>
        <w:t>本项目</w:t>
      </w:r>
      <w:r>
        <w:rPr>
          <w:rStyle w:val="27"/>
          <w:rFonts w:hint="eastAsia" w:ascii="宋体" w:hAnsi="宋体"/>
          <w:b/>
          <w:bCs/>
          <w:color w:val="auto"/>
          <w:kern w:val="0"/>
          <w:sz w:val="24"/>
          <w:highlight w:val="none"/>
        </w:rPr>
        <w:t>总价</w:t>
      </w:r>
      <w:r>
        <w:rPr>
          <w:rStyle w:val="27"/>
          <w:rFonts w:ascii="宋体" w:hAnsi="宋体"/>
          <w:b/>
          <w:bCs/>
          <w:color w:val="auto"/>
          <w:kern w:val="0"/>
          <w:sz w:val="24"/>
          <w:highlight w:val="none"/>
        </w:rPr>
        <w:t>最高限价</w:t>
      </w:r>
      <w:r>
        <w:rPr>
          <w:rStyle w:val="27"/>
          <w:rFonts w:hint="eastAsia" w:ascii="宋体" w:hAnsi="宋体"/>
          <w:b/>
          <w:bCs/>
          <w:color w:val="auto"/>
          <w:kern w:val="0"/>
          <w:sz w:val="24"/>
          <w:highlight w:val="none"/>
        </w:rPr>
        <w:t>的</w:t>
      </w:r>
      <w:r>
        <w:rPr>
          <w:rStyle w:val="27"/>
          <w:rFonts w:ascii="宋体" w:hAnsi="宋体"/>
          <w:b/>
          <w:bCs/>
          <w:color w:val="auto"/>
          <w:kern w:val="0"/>
          <w:sz w:val="24"/>
          <w:highlight w:val="none"/>
        </w:rPr>
        <w:t>3%</w:t>
      </w:r>
      <w:r>
        <w:rPr>
          <w:rStyle w:val="27"/>
          <w:rFonts w:hint="eastAsia" w:ascii="宋体" w:hAnsi="宋体"/>
          <w:b/>
          <w:bCs/>
          <w:color w:val="auto"/>
          <w:kern w:val="0"/>
          <w:sz w:val="24"/>
          <w:highlight w:val="none"/>
        </w:rPr>
        <w:t>以上（不含</w:t>
      </w:r>
      <w:r>
        <w:rPr>
          <w:rStyle w:val="27"/>
          <w:rFonts w:ascii="宋体" w:hAnsi="宋体"/>
          <w:b/>
          <w:bCs/>
          <w:color w:val="auto"/>
          <w:kern w:val="0"/>
          <w:sz w:val="24"/>
          <w:highlight w:val="none"/>
        </w:rPr>
        <w:t>3%</w:t>
      </w:r>
      <w:r>
        <w:rPr>
          <w:rStyle w:val="27"/>
          <w:rFonts w:hint="eastAsia" w:ascii="宋体" w:hAnsi="宋体"/>
          <w:b/>
          <w:bCs/>
          <w:color w:val="auto"/>
          <w:kern w:val="0"/>
          <w:sz w:val="24"/>
          <w:highlight w:val="none"/>
        </w:rPr>
        <w:t>）</w:t>
      </w:r>
      <w:r>
        <w:rPr>
          <w:rStyle w:val="27"/>
          <w:rFonts w:ascii="宋体" w:hAnsi="宋体"/>
          <w:b/>
          <w:bCs/>
          <w:color w:val="auto"/>
          <w:kern w:val="0"/>
          <w:sz w:val="24"/>
          <w:highlight w:val="none"/>
        </w:rPr>
        <w:t>，否则</w:t>
      </w:r>
      <w:r>
        <w:rPr>
          <w:rStyle w:val="27"/>
          <w:rFonts w:ascii="宋体" w:hAnsi="宋体" w:cs="宋体"/>
          <w:b/>
          <w:bCs/>
          <w:color w:val="auto"/>
          <w:kern w:val="0"/>
          <w:sz w:val="24"/>
          <w:highlight w:val="none"/>
        </w:rPr>
        <w:t>视为无效报价</w:t>
      </w:r>
      <w:r>
        <w:rPr>
          <w:rStyle w:val="27"/>
          <w:rFonts w:ascii="宋体" w:hAnsi="宋体"/>
          <w:b/>
          <w:bCs/>
          <w:color w:val="auto"/>
          <w:kern w:val="0"/>
          <w:sz w:val="24"/>
          <w:highlight w:val="none"/>
        </w:rPr>
        <w:t>。</w:t>
      </w:r>
      <w:r>
        <w:rPr>
          <w:rStyle w:val="27"/>
          <w:rFonts w:ascii="宋体" w:hAnsi="宋体"/>
          <w:color w:val="auto"/>
          <w:kern w:val="0"/>
          <w:sz w:val="24"/>
          <w:highlight w:val="none"/>
        </w:rPr>
        <w:t>在</w:t>
      </w:r>
      <w:r>
        <w:rPr>
          <w:rStyle w:val="27"/>
          <w:rFonts w:hint="eastAsia" w:ascii="宋体" w:hAnsi="宋体"/>
          <w:color w:val="auto"/>
          <w:kern w:val="0"/>
          <w:sz w:val="24"/>
          <w:highlight w:val="none"/>
        </w:rPr>
        <w:t>网上竞价时间</w:t>
      </w:r>
      <w:r>
        <w:rPr>
          <w:rStyle w:val="27"/>
          <w:rFonts w:ascii="宋体" w:hAnsi="宋体"/>
          <w:color w:val="auto"/>
          <w:kern w:val="0"/>
          <w:sz w:val="24"/>
          <w:highlight w:val="none"/>
        </w:rPr>
        <w:t>内</w:t>
      </w:r>
      <w:r>
        <w:rPr>
          <w:rStyle w:val="27"/>
          <w:rFonts w:hint="eastAsia" w:ascii="宋体" w:hAnsi="宋体"/>
          <w:color w:val="auto"/>
          <w:kern w:val="0"/>
          <w:sz w:val="24"/>
          <w:highlight w:val="none"/>
        </w:rPr>
        <w:t>、同一供应商有</w:t>
      </w:r>
      <w:r>
        <w:rPr>
          <w:rStyle w:val="27"/>
          <w:rFonts w:ascii="宋体" w:hAnsi="宋体"/>
          <w:color w:val="auto"/>
          <w:kern w:val="0"/>
          <w:sz w:val="24"/>
          <w:highlight w:val="none"/>
        </w:rPr>
        <w:t>多次报价的</w:t>
      </w:r>
      <w:r>
        <w:rPr>
          <w:rStyle w:val="27"/>
          <w:rFonts w:hint="eastAsia" w:ascii="宋体" w:hAnsi="宋体"/>
          <w:color w:val="auto"/>
          <w:kern w:val="0"/>
          <w:sz w:val="24"/>
          <w:highlight w:val="none"/>
        </w:rPr>
        <w:t>情况下</w:t>
      </w:r>
      <w:r>
        <w:rPr>
          <w:rStyle w:val="27"/>
          <w:rFonts w:ascii="宋体" w:hAnsi="宋体"/>
          <w:color w:val="auto"/>
          <w:kern w:val="0"/>
          <w:sz w:val="24"/>
          <w:highlight w:val="none"/>
        </w:rPr>
        <w:t>，</w:t>
      </w:r>
      <w:r>
        <w:rPr>
          <w:rStyle w:val="27"/>
          <w:rFonts w:hint="eastAsia" w:ascii="宋体" w:hAnsi="宋体"/>
          <w:color w:val="auto"/>
          <w:kern w:val="0"/>
          <w:sz w:val="24"/>
          <w:highlight w:val="none"/>
        </w:rPr>
        <w:t>则该供应商的每一次</w:t>
      </w:r>
      <w:r>
        <w:rPr>
          <w:rStyle w:val="27"/>
          <w:rFonts w:ascii="宋体" w:hAnsi="宋体"/>
          <w:color w:val="auto"/>
          <w:kern w:val="0"/>
          <w:sz w:val="24"/>
          <w:highlight w:val="none"/>
        </w:rPr>
        <w:t>报价金额必须小于自己上一次的报价金额，</w:t>
      </w:r>
      <w:r>
        <w:rPr>
          <w:rStyle w:val="27"/>
          <w:rFonts w:hint="eastAsia" w:ascii="宋体" w:hAnsi="宋体"/>
          <w:color w:val="auto"/>
          <w:kern w:val="0"/>
          <w:sz w:val="24"/>
          <w:highlight w:val="none"/>
        </w:rPr>
        <w:t>同时以该供应商</w:t>
      </w:r>
      <w:r>
        <w:rPr>
          <w:rStyle w:val="27"/>
          <w:rFonts w:ascii="宋体" w:hAnsi="宋体"/>
          <w:color w:val="auto"/>
          <w:kern w:val="0"/>
          <w:sz w:val="24"/>
          <w:highlight w:val="none"/>
        </w:rPr>
        <w:t>提交的最后一次报价作为</w:t>
      </w:r>
      <w:r>
        <w:rPr>
          <w:rStyle w:val="27"/>
          <w:rFonts w:hint="eastAsia" w:ascii="宋体" w:hAnsi="宋体"/>
          <w:color w:val="auto"/>
          <w:kern w:val="0"/>
          <w:sz w:val="24"/>
          <w:highlight w:val="none"/>
        </w:rPr>
        <w:t>其最终有效报价</w:t>
      </w:r>
      <w:r>
        <w:rPr>
          <w:rStyle w:val="27"/>
          <w:rFonts w:ascii="宋体" w:hAnsi="宋体"/>
          <w:color w:val="auto"/>
          <w:kern w:val="0"/>
          <w:sz w:val="24"/>
          <w:highlight w:val="none"/>
        </w:rPr>
        <w:t>。</w:t>
      </w:r>
    </w:p>
    <w:p>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pPr>
        <w:keepNext w:val="0"/>
        <w:keepLines w:val="0"/>
        <w:pageBreakBefore w:val="0"/>
        <w:widowControl/>
        <w:kinsoku/>
        <w:topLinePunct w:val="0"/>
        <w:bidi w:val="0"/>
        <w:spacing w:line="400" w:lineRule="exact"/>
        <w:ind w:firstLine="480" w:firstLineChars="200"/>
        <w:jc w:val="left"/>
        <w:textAlignment w:val="baseline"/>
        <w:rPr>
          <w:rStyle w:val="27"/>
          <w:rFonts w:ascii="宋体" w:hAnsi="宋体"/>
          <w:color w:val="auto"/>
          <w:kern w:val="0"/>
          <w:sz w:val="24"/>
          <w:highlight w:val="none"/>
        </w:rPr>
      </w:pPr>
      <w:r>
        <w:rPr>
          <w:rFonts w:hint="eastAsia" w:ascii="宋体" w:hAnsi="宋体" w:cs="宋体"/>
          <w:color w:val="auto"/>
          <w:sz w:val="24"/>
          <w:highlight w:val="none"/>
        </w:rPr>
        <w:t>1.</w:t>
      </w:r>
      <w:r>
        <w:rPr>
          <w:rStyle w:val="27"/>
          <w:rFonts w:hint="eastAsia" w:ascii="宋体" w:hAnsi="宋体"/>
          <w:color w:val="auto"/>
          <w:kern w:val="0"/>
          <w:sz w:val="24"/>
          <w:highlight w:val="none"/>
        </w:rPr>
        <w:t>供应商</w:t>
      </w:r>
      <w:r>
        <w:rPr>
          <w:rStyle w:val="27"/>
          <w:rFonts w:ascii="宋体" w:hAnsi="宋体"/>
          <w:color w:val="auto"/>
          <w:kern w:val="0"/>
          <w:sz w:val="24"/>
          <w:highlight w:val="none"/>
        </w:rPr>
        <w:t>在</w:t>
      </w:r>
      <w:r>
        <w:rPr>
          <w:rStyle w:val="27"/>
          <w:rFonts w:hint="eastAsia" w:ascii="宋体" w:hAnsi="宋体"/>
          <w:color w:val="auto"/>
          <w:kern w:val="0"/>
          <w:sz w:val="24"/>
          <w:highlight w:val="none"/>
        </w:rPr>
        <w:t>完全满足网上竞价文件要求</w:t>
      </w:r>
      <w:r>
        <w:rPr>
          <w:rStyle w:val="27"/>
          <w:rFonts w:ascii="宋体" w:hAnsi="宋体"/>
          <w:color w:val="auto"/>
          <w:kern w:val="0"/>
          <w:sz w:val="24"/>
          <w:highlight w:val="none"/>
        </w:rPr>
        <w:t>且报价有效的前提下，</w:t>
      </w:r>
      <w:r>
        <w:rPr>
          <w:rStyle w:val="27"/>
          <w:rFonts w:hint="eastAsia" w:ascii="宋体" w:hAnsi="宋体"/>
          <w:color w:val="auto"/>
          <w:kern w:val="0"/>
          <w:sz w:val="24"/>
          <w:highlight w:val="none"/>
        </w:rPr>
        <w:t>最终有效报价</w:t>
      </w:r>
      <w:r>
        <w:rPr>
          <w:rStyle w:val="27"/>
          <w:rFonts w:ascii="宋体" w:hAnsi="宋体"/>
          <w:color w:val="auto"/>
          <w:kern w:val="0"/>
          <w:sz w:val="24"/>
          <w:highlight w:val="none"/>
        </w:rPr>
        <w:t>最低者</w:t>
      </w:r>
      <w:r>
        <w:rPr>
          <w:rStyle w:val="27"/>
          <w:rFonts w:hint="eastAsia" w:ascii="宋体" w:hAnsi="宋体"/>
          <w:color w:val="auto"/>
          <w:kern w:val="0"/>
          <w:sz w:val="24"/>
          <w:highlight w:val="none"/>
        </w:rPr>
        <w:t>为</w:t>
      </w:r>
      <w:r>
        <w:rPr>
          <w:rStyle w:val="27"/>
          <w:rFonts w:ascii="宋体" w:hAnsi="宋体"/>
          <w:color w:val="auto"/>
          <w:kern w:val="0"/>
          <w:sz w:val="24"/>
          <w:highlight w:val="none"/>
        </w:rPr>
        <w:t>成交</w:t>
      </w:r>
      <w:r>
        <w:rPr>
          <w:rStyle w:val="27"/>
          <w:rFonts w:hint="eastAsia" w:ascii="宋体" w:hAnsi="宋体"/>
          <w:color w:val="auto"/>
          <w:kern w:val="0"/>
          <w:sz w:val="24"/>
          <w:highlight w:val="none"/>
        </w:rPr>
        <w:t>候选人</w:t>
      </w:r>
      <w:r>
        <w:rPr>
          <w:rStyle w:val="27"/>
          <w:rFonts w:ascii="宋体" w:hAnsi="宋体"/>
          <w:color w:val="auto"/>
          <w:kern w:val="0"/>
          <w:sz w:val="24"/>
          <w:highlight w:val="none"/>
        </w:rPr>
        <w:t>，若</w:t>
      </w:r>
      <w:r>
        <w:rPr>
          <w:rStyle w:val="27"/>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3.供应商同意按照网上竞价文件要求提供与其竞价有关的一切数据或资料，完全理解采购人不一定要接受最低报价。</w:t>
      </w:r>
    </w:p>
    <w:p>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pPr>
        <w:keepNext w:val="0"/>
        <w:keepLines w:val="0"/>
        <w:pageBreakBefore w:val="0"/>
        <w:widowControl/>
        <w:kinsoku/>
        <w:topLinePunct w:val="0"/>
        <w:bidi w:val="0"/>
        <w:spacing w:line="400" w:lineRule="exact"/>
        <w:ind w:firstLine="480" w:firstLineChars="200"/>
        <w:jc w:val="left"/>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pPr>
        <w:keepNext w:val="0"/>
        <w:keepLines w:val="0"/>
        <w:pageBreakBefore w:val="0"/>
        <w:widowControl/>
        <w:kinsoku/>
        <w:topLinePunct w:val="0"/>
        <w:bidi w:val="0"/>
        <w:spacing w:line="400" w:lineRule="exact"/>
        <w:ind w:firstLine="482" w:firstLineChars="200"/>
        <w:jc w:val="left"/>
        <w:rPr>
          <w:color w:val="auto"/>
          <w:highlight w:val="none"/>
        </w:rPr>
      </w:pPr>
      <w:r>
        <w:rPr>
          <w:rFonts w:hint="eastAsia" w:ascii="宋体" w:hAnsi="宋体"/>
          <w:b/>
          <w:bCs/>
          <w:color w:val="auto"/>
          <w:sz w:val="24"/>
          <w:highlight w:val="none"/>
        </w:rPr>
        <w:t>4.</w:t>
      </w:r>
      <w:r>
        <w:rPr>
          <w:rStyle w:val="27"/>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六、签订合同</w:t>
      </w:r>
    </w:p>
    <w:p>
      <w:pPr>
        <w:pStyle w:val="13"/>
        <w:keepNext w:val="0"/>
        <w:keepLines w:val="0"/>
        <w:pageBreakBefore w:val="0"/>
        <w:kinsoku/>
        <w:topLinePunct w:val="0"/>
        <w:bidi w:val="0"/>
        <w:spacing w:line="4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pPr>
        <w:pStyle w:val="13"/>
        <w:keepNext w:val="0"/>
        <w:keepLines w:val="0"/>
        <w:pageBreakBefore w:val="0"/>
        <w:kinsoku/>
        <w:topLinePunct w:val="0"/>
        <w:bidi w:val="0"/>
        <w:spacing w:line="4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pPr>
        <w:pStyle w:val="13"/>
        <w:keepNext w:val="0"/>
        <w:keepLines w:val="0"/>
        <w:pageBreakBefore w:val="0"/>
        <w:kinsoku/>
        <w:topLinePunct w:val="0"/>
        <w:bidi w:val="0"/>
        <w:spacing w:line="4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pPr>
        <w:pStyle w:val="13"/>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pPr>
        <w:pStyle w:val="13"/>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pPr>
        <w:pStyle w:val="15"/>
        <w:keepNext w:val="0"/>
        <w:keepLines w:val="0"/>
        <w:pageBreakBefore w:val="0"/>
        <w:kinsoku/>
        <w:topLinePunct w:val="0"/>
        <w:bidi w:val="0"/>
        <w:spacing w:before="0" w:beforeAutospacing="0" w:after="0" w:afterAutospacing="0" w:line="400" w:lineRule="exact"/>
        <w:ind w:firstLine="482" w:firstLineChars="200"/>
        <w:rPr>
          <w:b/>
          <w:bCs/>
          <w:color w:val="auto"/>
          <w:kern w:val="2"/>
          <w:highlight w:val="none"/>
        </w:rPr>
      </w:pPr>
      <w:r>
        <w:rPr>
          <w:rFonts w:hint="eastAsia"/>
          <w:b/>
          <w:bCs/>
          <w:color w:val="auto"/>
          <w:kern w:val="2"/>
          <w:highlight w:val="none"/>
        </w:rPr>
        <w:t>七、如果</w:t>
      </w:r>
      <w:r>
        <w:rPr>
          <w:rStyle w:val="27"/>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pPr>
        <w:pStyle w:val="15"/>
        <w:keepNext w:val="0"/>
        <w:keepLines w:val="0"/>
        <w:pageBreakBefore w:val="0"/>
        <w:kinsoku/>
        <w:topLinePunct w:val="0"/>
        <w:bidi w:val="0"/>
        <w:spacing w:before="0" w:beforeAutospacing="0" w:after="0" w:afterAutospacing="0" w:line="400" w:lineRule="exact"/>
        <w:ind w:firstLine="480" w:firstLineChars="200"/>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pPr>
        <w:pStyle w:val="15"/>
        <w:keepNext w:val="0"/>
        <w:keepLines w:val="0"/>
        <w:pageBreakBefore w:val="0"/>
        <w:kinsoku/>
        <w:topLinePunct w:val="0"/>
        <w:bidi w:val="0"/>
        <w:spacing w:before="0" w:beforeAutospacing="0" w:after="0" w:afterAutospacing="0" w:line="400" w:lineRule="exact"/>
        <w:ind w:firstLine="480" w:firstLineChars="200"/>
        <w:rPr>
          <w:color w:val="auto"/>
          <w:kern w:val="2"/>
          <w:highlight w:val="none"/>
        </w:rPr>
      </w:pPr>
      <w:r>
        <w:rPr>
          <w:rFonts w:hint="eastAsia"/>
          <w:color w:val="auto"/>
          <w:kern w:val="2"/>
          <w:highlight w:val="none"/>
        </w:rPr>
        <w:t>（2）成交供应商自动放弃成交资格的；</w:t>
      </w:r>
    </w:p>
    <w:p>
      <w:pPr>
        <w:pStyle w:val="15"/>
        <w:keepNext w:val="0"/>
        <w:keepLines w:val="0"/>
        <w:pageBreakBefore w:val="0"/>
        <w:kinsoku/>
        <w:topLinePunct w:val="0"/>
        <w:bidi w:val="0"/>
        <w:spacing w:before="0" w:beforeAutospacing="0" w:after="0" w:afterAutospacing="0" w:line="400" w:lineRule="exact"/>
        <w:ind w:firstLine="480" w:firstLineChars="200"/>
        <w:rPr>
          <w:color w:val="auto"/>
          <w:kern w:val="2"/>
          <w:highlight w:val="none"/>
        </w:rPr>
      </w:pPr>
      <w:r>
        <w:rPr>
          <w:rFonts w:hint="eastAsia"/>
          <w:color w:val="auto"/>
          <w:kern w:val="2"/>
          <w:highlight w:val="none"/>
        </w:rPr>
        <w:t>（3）</w:t>
      </w:r>
      <w:r>
        <w:rPr>
          <w:rStyle w:val="27"/>
          <w:rFonts w:hint="eastAsia"/>
          <w:color w:val="auto"/>
          <w:kern w:val="0"/>
          <w:sz w:val="24"/>
          <w:highlight w:val="none"/>
        </w:rPr>
        <w:t>供应商</w:t>
      </w:r>
      <w:r>
        <w:rPr>
          <w:rFonts w:hint="eastAsia"/>
          <w:color w:val="auto"/>
          <w:kern w:val="2"/>
          <w:highlight w:val="none"/>
        </w:rPr>
        <w:t>假借以他人名义参加竞价或者弄虚作假，骗取成交；</w:t>
      </w:r>
    </w:p>
    <w:p>
      <w:pPr>
        <w:pStyle w:val="15"/>
        <w:keepNext w:val="0"/>
        <w:keepLines w:val="0"/>
        <w:pageBreakBefore w:val="0"/>
        <w:kinsoku/>
        <w:topLinePunct w:val="0"/>
        <w:bidi w:val="0"/>
        <w:spacing w:before="0" w:beforeAutospacing="0" w:after="0" w:afterAutospacing="0" w:line="400" w:lineRule="exact"/>
        <w:ind w:firstLine="480" w:firstLineChars="200"/>
        <w:rPr>
          <w:color w:val="auto"/>
          <w:kern w:val="2"/>
          <w:highlight w:val="none"/>
        </w:rPr>
      </w:pPr>
      <w:r>
        <w:rPr>
          <w:rFonts w:hint="eastAsia"/>
          <w:color w:val="auto"/>
          <w:kern w:val="2"/>
          <w:highlight w:val="none"/>
        </w:rPr>
        <w:t>（4）国家法律法规以及网上竞价文件中规定的其他竞价保证金不予退还的情形。</w:t>
      </w:r>
    </w:p>
    <w:p>
      <w:pPr>
        <w:spacing w:line="360" w:lineRule="auto"/>
        <w:jc w:val="center"/>
        <w:rPr>
          <w:rFonts w:ascii="宋体" w:hAnsi="宋体" w:cs="宋体"/>
          <w:b/>
          <w:color w:val="auto"/>
          <w:kern w:val="0"/>
          <w:sz w:val="32"/>
          <w:szCs w:val="32"/>
          <w:highlight w:val="none"/>
        </w:rPr>
      </w:pPr>
    </w:p>
    <w:p>
      <w:pPr>
        <w:pStyle w:val="4"/>
        <w:spacing w:line="360" w:lineRule="auto"/>
        <w:rPr>
          <w:rFonts w:hint="default"/>
          <w:color w:val="auto"/>
          <w:highlight w:val="none"/>
        </w:rPr>
      </w:pPr>
    </w:p>
    <w:p>
      <w:pPr>
        <w:spacing w:line="360" w:lineRule="auto"/>
        <w:rPr>
          <w:rFonts w:ascii="宋体" w:hAnsi="宋体" w:cs="宋体"/>
          <w:b/>
          <w:color w:val="auto"/>
          <w:kern w:val="0"/>
          <w:sz w:val="32"/>
          <w:szCs w:val="32"/>
          <w:highlight w:val="none"/>
        </w:rPr>
      </w:pPr>
    </w:p>
    <w:p>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pPr>
        <w:keepNext w:val="0"/>
        <w:keepLines w:val="0"/>
        <w:pageBreakBefore w:val="0"/>
        <w:kinsoku/>
        <w:wordWrap/>
        <w:overflowPunct/>
        <w:topLinePunct w:val="0"/>
        <w:autoSpaceDE/>
        <w:autoSpaceDN/>
        <w:bidi w:val="0"/>
        <w:adjustRightInd/>
        <w:snapToGrid w:val="0"/>
        <w:spacing w:line="400" w:lineRule="exact"/>
        <w:outlineLvl w:val="1"/>
        <w:rPr>
          <w:rFonts w:ascii="宋体" w:hAnsi="宋体" w:cs="宋体"/>
          <w:b/>
          <w:color w:val="auto"/>
          <w:sz w:val="24"/>
          <w:szCs w:val="24"/>
          <w:highlight w:val="none"/>
        </w:rPr>
      </w:pPr>
      <w:bookmarkStart w:id="1" w:name="_Toc359317661"/>
      <w:bookmarkStart w:id="2" w:name="_Toc358016816"/>
      <w:bookmarkStart w:id="3" w:name="_Toc346300367"/>
      <w:bookmarkStart w:id="4" w:name="_Toc347060296"/>
      <w:bookmarkStart w:id="5" w:name="_Toc327948617"/>
      <w:bookmarkStart w:id="6" w:name="_Toc330567034"/>
      <w:r>
        <w:rPr>
          <w:rFonts w:hint="eastAsia" w:ascii="宋体" w:hAnsi="宋体" w:cs="宋体"/>
          <w:b/>
          <w:color w:val="auto"/>
          <w:sz w:val="24"/>
          <w:szCs w:val="24"/>
          <w:highlight w:val="none"/>
        </w:rPr>
        <w:t>一、项目概述</w:t>
      </w:r>
      <w:bookmarkEnd w:id="1"/>
      <w:bookmarkEnd w:id="2"/>
    </w:p>
    <w:p>
      <w:pPr>
        <w:pStyle w:val="29"/>
        <w:keepNext w:val="0"/>
        <w:keepLines w:val="0"/>
        <w:pageBreakBefore w:val="0"/>
        <w:kinsoku/>
        <w:wordWrap/>
        <w:overflowPunct/>
        <w:topLinePunct w:val="0"/>
        <w:autoSpaceDE/>
        <w:autoSpaceDN/>
        <w:bidi w:val="0"/>
        <w:adjustRightInd/>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 xml:space="preserve">1.采购标的一览表 </w:t>
      </w:r>
    </w:p>
    <w:p>
      <w:pPr>
        <w:keepNext w:val="0"/>
        <w:keepLines w:val="0"/>
        <w:pageBreakBefore w:val="0"/>
        <w:kinsoku/>
        <w:wordWrap/>
        <w:overflowPunct/>
        <w:topLinePunct w:val="0"/>
        <w:autoSpaceDE/>
        <w:autoSpaceDN/>
        <w:bidi w:val="0"/>
        <w:adjustRightInd/>
        <w:spacing w:line="400" w:lineRule="exact"/>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0"/>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952"/>
        <w:gridCol w:w="2364"/>
        <w:gridCol w:w="1219"/>
        <w:gridCol w:w="848"/>
        <w:gridCol w:w="1026"/>
        <w:gridCol w:w="1334"/>
        <w:gridCol w:w="1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3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包号</w:t>
            </w: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120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货物名称</w:t>
            </w:r>
          </w:p>
        </w:tc>
        <w:tc>
          <w:tcPr>
            <w:tcW w:w="61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参考品牌</w:t>
            </w:r>
          </w:p>
          <w:p>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b/>
                <w:bCs/>
                <w:color w:val="auto"/>
                <w:kern w:val="0"/>
                <w:sz w:val="24"/>
                <w:szCs w:val="24"/>
                <w:highlight w:val="none"/>
              </w:rPr>
            </w:pPr>
            <w:r>
              <w:rPr>
                <w:rFonts w:hint="eastAsia" w:ascii="宋体" w:hAnsi="宋体"/>
                <w:b/>
                <w:bCs/>
                <w:color w:val="auto"/>
                <w:kern w:val="0"/>
                <w:sz w:val="24"/>
                <w:szCs w:val="24"/>
                <w:highlight w:val="none"/>
                <w:lang w:eastAsia="zh-CN"/>
              </w:rPr>
              <w:t>（若有）</w:t>
            </w:r>
          </w:p>
        </w:tc>
        <w:tc>
          <w:tcPr>
            <w:tcW w:w="43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数量</w:t>
            </w:r>
          </w:p>
        </w:tc>
        <w:tc>
          <w:tcPr>
            <w:tcW w:w="52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是否允许进口</w:t>
            </w:r>
          </w:p>
        </w:tc>
        <w:tc>
          <w:tcPr>
            <w:tcW w:w="67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单价最高限价</w:t>
            </w:r>
          </w:p>
        </w:tc>
        <w:tc>
          <w:tcPr>
            <w:tcW w:w="6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宋体" w:hAnsi="宋体"/>
                <w:b/>
                <w:bCs/>
                <w:color w:val="auto"/>
                <w:kern w:val="0"/>
                <w:sz w:val="24"/>
                <w:szCs w:val="24"/>
                <w:highlight w:val="none"/>
              </w:rPr>
            </w:pPr>
            <w:r>
              <w:rPr>
                <w:rFonts w:hint="eastAsia" w:ascii="宋体" w:hAnsi="宋体"/>
                <w:b/>
                <w:bCs/>
                <w:color w:val="auto"/>
                <w:kern w:val="0"/>
                <w:sz w:val="24"/>
                <w:szCs w:val="24"/>
                <w:highlight w:val="none"/>
                <w:lang w:eastAsia="zh-CN"/>
              </w:rPr>
              <w:t>总价最高限价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1</w:t>
            </w: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1-1</w:t>
            </w:r>
          </w:p>
        </w:tc>
        <w:tc>
          <w:tcPr>
            <w:tcW w:w="120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color w:val="auto"/>
                <w:kern w:val="0"/>
                <w:sz w:val="24"/>
                <w:szCs w:val="24"/>
                <w:highlight w:val="none"/>
                <w:lang w:eastAsia="zh-CN"/>
              </w:rPr>
            </w:pPr>
            <w:r>
              <w:rPr>
                <w:rFonts w:hint="eastAsia" w:ascii="宋体" w:hAnsi="宋体" w:eastAsia="宋体" w:cs="新宋体"/>
                <w:color w:val="auto"/>
                <w:kern w:val="0"/>
                <w:sz w:val="24"/>
                <w:szCs w:val="24"/>
                <w:highlight w:val="none"/>
                <w:lang w:eastAsia="zh-CN"/>
              </w:rPr>
              <w:t>门禁系统采购项目</w:t>
            </w:r>
          </w:p>
        </w:tc>
        <w:tc>
          <w:tcPr>
            <w:tcW w:w="61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w:t>
            </w:r>
          </w:p>
        </w:tc>
        <w:tc>
          <w:tcPr>
            <w:tcW w:w="43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color w:val="auto"/>
                <w:kern w:val="0"/>
                <w:sz w:val="24"/>
                <w:szCs w:val="24"/>
                <w:highlight w:val="none"/>
                <w:lang w:val="en-US" w:eastAsia="zh-CN"/>
              </w:rPr>
            </w:pPr>
            <w:r>
              <w:rPr>
                <w:rFonts w:hint="eastAsia" w:ascii="宋体" w:hAnsi="宋体" w:cs="新宋体"/>
                <w:color w:val="auto"/>
                <w:kern w:val="0"/>
                <w:sz w:val="24"/>
                <w:szCs w:val="24"/>
                <w:highlight w:val="none"/>
                <w:lang w:val="en-US" w:eastAsia="zh-CN"/>
              </w:rPr>
              <w:t>1（批）</w:t>
            </w:r>
          </w:p>
        </w:tc>
        <w:tc>
          <w:tcPr>
            <w:tcW w:w="52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color w:val="auto"/>
                <w:kern w:val="0"/>
                <w:sz w:val="24"/>
                <w:szCs w:val="24"/>
                <w:highlight w:val="none"/>
                <w:lang w:val="en-US" w:eastAsia="zh-CN"/>
              </w:rPr>
            </w:pPr>
            <w:r>
              <w:rPr>
                <w:rFonts w:hint="eastAsia" w:ascii="宋体" w:hAnsi="宋体" w:cs="新宋体"/>
                <w:color w:val="auto"/>
                <w:kern w:val="0"/>
                <w:sz w:val="24"/>
                <w:szCs w:val="24"/>
                <w:highlight w:val="none"/>
                <w:lang w:val="en-US" w:eastAsia="zh-CN"/>
              </w:rPr>
              <w:t>否</w:t>
            </w:r>
          </w:p>
        </w:tc>
        <w:tc>
          <w:tcPr>
            <w:tcW w:w="67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color w:val="auto"/>
                <w:kern w:val="0"/>
                <w:sz w:val="24"/>
                <w:szCs w:val="24"/>
                <w:highlight w:val="none"/>
                <w:lang w:val="en-US" w:eastAsia="zh-CN"/>
              </w:rPr>
            </w:pPr>
            <w:r>
              <w:rPr>
                <w:rFonts w:hint="eastAsia" w:ascii="宋体" w:hAnsi="宋体" w:cs="新宋体"/>
                <w:color w:val="auto"/>
                <w:kern w:val="0"/>
                <w:sz w:val="24"/>
                <w:szCs w:val="24"/>
                <w:highlight w:val="none"/>
                <w:lang w:val="en-US" w:eastAsia="zh-CN"/>
              </w:rPr>
              <w:t>129300.00</w:t>
            </w:r>
          </w:p>
        </w:tc>
        <w:tc>
          <w:tcPr>
            <w:tcW w:w="6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color w:val="auto"/>
                <w:kern w:val="0"/>
                <w:sz w:val="24"/>
                <w:szCs w:val="24"/>
                <w:highlight w:val="none"/>
                <w:lang w:val="en-US" w:eastAsia="zh-CN"/>
              </w:rPr>
            </w:pPr>
            <w:r>
              <w:rPr>
                <w:rFonts w:hint="eastAsia" w:ascii="宋体" w:hAnsi="宋体" w:cs="新宋体"/>
                <w:color w:val="auto"/>
                <w:kern w:val="0"/>
                <w:sz w:val="24"/>
                <w:szCs w:val="24"/>
                <w:highlight w:val="none"/>
                <w:lang w:val="en-US" w:eastAsia="zh-CN"/>
              </w:rPr>
              <w:t>129300.00</w:t>
            </w:r>
          </w:p>
        </w:tc>
      </w:tr>
    </w:tbl>
    <w:p>
      <w:pPr>
        <w:pStyle w:val="3"/>
        <w:keepNext w:val="0"/>
        <w:keepLines w:val="0"/>
        <w:pageBreakBefore w:val="0"/>
        <w:kinsoku/>
        <w:wordWrap/>
        <w:overflowPunct/>
        <w:topLinePunct w:val="0"/>
        <w:autoSpaceDE/>
        <w:autoSpaceDN/>
        <w:bidi w:val="0"/>
        <w:adjustRightInd/>
        <w:spacing w:beforeAutospacing="0" w:afterAutospacing="0" w:line="400" w:lineRule="exact"/>
        <w:ind w:firstLine="480" w:firstLineChars="200"/>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2.本项目合同包成交候选人数量：1名。</w:t>
      </w:r>
    </w:p>
    <w:p>
      <w:pPr>
        <w:pStyle w:val="3"/>
        <w:keepNext w:val="0"/>
        <w:keepLines w:val="0"/>
        <w:pageBreakBefore w:val="0"/>
        <w:kinsoku/>
        <w:wordWrap/>
        <w:overflowPunct/>
        <w:topLinePunct w:val="0"/>
        <w:autoSpaceDE/>
        <w:autoSpaceDN/>
        <w:bidi w:val="0"/>
        <w:adjustRightInd/>
        <w:spacing w:beforeAutospacing="0" w:afterAutospacing="0" w:line="400" w:lineRule="exact"/>
        <w:ind w:firstLine="480" w:firstLineChars="200"/>
        <w:rPr>
          <w:rFonts w:hint="eastAsia" w:cs="宋体"/>
          <w:b w:val="0"/>
          <w:bCs/>
          <w:color w:val="auto"/>
          <w:sz w:val="24"/>
          <w:szCs w:val="24"/>
          <w:highlight w:val="none"/>
          <w:lang w:eastAsia="zh-CN"/>
        </w:rPr>
      </w:pPr>
      <w:r>
        <w:rPr>
          <w:rFonts w:hint="eastAsia" w:ascii="宋体" w:hAnsi="宋体" w:eastAsia="宋体" w:cs="宋体"/>
          <w:b w:val="0"/>
          <w:bCs/>
          <w:color w:val="auto"/>
          <w:sz w:val="24"/>
          <w:szCs w:val="24"/>
          <w:highlight w:val="none"/>
        </w:rPr>
        <w:t>3.本项目为</w:t>
      </w:r>
      <w:r>
        <w:rPr>
          <w:rFonts w:hint="eastAsia" w:cs="宋体"/>
          <w:b w:val="0"/>
          <w:bCs/>
          <w:color w:val="auto"/>
          <w:sz w:val="24"/>
          <w:szCs w:val="24"/>
          <w:highlight w:val="none"/>
          <w:lang w:eastAsia="zh-CN"/>
        </w:rPr>
        <w:t>福建省建阳兴欣织造有限责任公司门禁系统采购项目</w:t>
      </w:r>
      <w:r>
        <w:rPr>
          <w:rFonts w:hint="eastAsia" w:ascii="宋体" w:hAnsi="宋体" w:eastAsia="宋体" w:cs="宋体"/>
          <w:b w:val="0"/>
          <w:bCs/>
          <w:color w:val="auto"/>
          <w:sz w:val="24"/>
          <w:szCs w:val="24"/>
          <w:highlight w:val="none"/>
        </w:rPr>
        <w:t>，预算金额</w:t>
      </w:r>
      <w:r>
        <w:rPr>
          <w:rFonts w:hint="eastAsia" w:cs="宋体"/>
          <w:b w:val="0"/>
          <w:bCs/>
          <w:color w:val="auto"/>
          <w:sz w:val="24"/>
          <w:szCs w:val="24"/>
          <w:highlight w:val="none"/>
          <w:lang w:val="en-US" w:eastAsia="zh-CN"/>
        </w:rPr>
        <w:t>12.93</w:t>
      </w:r>
      <w:r>
        <w:rPr>
          <w:rFonts w:hint="eastAsia" w:ascii="宋体" w:hAnsi="宋体" w:eastAsia="宋体" w:cs="宋体"/>
          <w:b w:val="0"/>
          <w:bCs/>
          <w:color w:val="auto"/>
          <w:sz w:val="24"/>
          <w:szCs w:val="24"/>
          <w:highlight w:val="none"/>
        </w:rPr>
        <w:t>万元</w:t>
      </w:r>
      <w:r>
        <w:rPr>
          <w:rFonts w:hint="eastAsia" w:cs="宋体"/>
          <w:b w:val="0"/>
          <w:bCs/>
          <w:color w:val="auto"/>
          <w:sz w:val="24"/>
          <w:szCs w:val="24"/>
          <w:highlight w:val="none"/>
          <w:lang w:eastAsia="zh-CN"/>
        </w:rPr>
        <w:t>；各供应商应根据竞价文件所提出的技术参数、数量和服务要求，选择具有最佳性价比的货物和服务来投标，所投产品必须符合或优于国家及行业相关标准。国家有CCC强制性规定的产品必须符合国家CCC强制性认证规定。</w:t>
      </w:r>
    </w:p>
    <w:p>
      <w:pPr>
        <w:keepNext w:val="0"/>
        <w:keepLines w:val="0"/>
        <w:pageBreakBefore w:val="0"/>
        <w:kinsoku/>
        <w:wordWrap/>
        <w:overflowPunct/>
        <w:topLinePunct w:val="0"/>
        <w:autoSpaceDE/>
        <w:autoSpaceDN/>
        <w:bidi w:val="0"/>
        <w:adjustRightInd/>
        <w:snapToGrid w:val="0"/>
        <w:spacing w:line="4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4.供应商应严格遵照</w:t>
      </w:r>
      <w:r>
        <w:rPr>
          <w:rFonts w:hint="eastAsia" w:ascii="宋体" w:hAnsi="宋体" w:eastAsia="宋体" w:cs="宋体"/>
          <w:bCs/>
          <w:color w:val="auto"/>
          <w:sz w:val="24"/>
          <w:szCs w:val="24"/>
          <w:highlight w:val="none"/>
        </w:rPr>
        <w:t>本网上竞价文件</w:t>
      </w:r>
      <w:r>
        <w:rPr>
          <w:rFonts w:hint="eastAsia" w:ascii="宋体" w:hAnsi="宋体" w:eastAsia="宋体" w:cs="宋体"/>
          <w:color w:val="auto"/>
          <w:sz w:val="24"/>
          <w:szCs w:val="24"/>
          <w:highlight w:val="none"/>
        </w:rPr>
        <w:t>中所涉及的技术要求和规范，供应商可以比</w:t>
      </w:r>
      <w:r>
        <w:rPr>
          <w:rFonts w:hint="eastAsia" w:ascii="宋体" w:hAnsi="宋体" w:eastAsia="宋体" w:cs="宋体"/>
          <w:bCs/>
          <w:color w:val="auto"/>
          <w:sz w:val="24"/>
          <w:szCs w:val="24"/>
          <w:highlight w:val="none"/>
        </w:rPr>
        <w:t>本网上竞价文件</w:t>
      </w:r>
      <w:r>
        <w:rPr>
          <w:rFonts w:hint="eastAsia" w:ascii="宋体" w:hAnsi="宋体" w:eastAsia="宋体" w:cs="宋体"/>
          <w:color w:val="auto"/>
          <w:sz w:val="24"/>
          <w:szCs w:val="24"/>
          <w:highlight w:val="none"/>
        </w:rPr>
        <w:t>技术要求更高</w:t>
      </w:r>
      <w:r>
        <w:rPr>
          <w:rFonts w:hint="eastAsia" w:ascii="宋体" w:hAnsi="宋体" w:eastAsia="宋体" w:cs="宋体"/>
          <w:color w:val="auto"/>
          <w:sz w:val="24"/>
          <w:szCs w:val="24"/>
          <w:highlight w:val="none"/>
          <w:lang w:eastAsia="zh-CN"/>
        </w:rPr>
        <w:t>的服务</w:t>
      </w:r>
      <w:r>
        <w:rPr>
          <w:rFonts w:hint="eastAsia" w:ascii="宋体" w:hAnsi="宋体" w:eastAsia="宋体" w:cs="宋体"/>
          <w:color w:val="auto"/>
          <w:sz w:val="24"/>
          <w:szCs w:val="24"/>
          <w:highlight w:val="none"/>
        </w:rPr>
        <w:t>参加报价，并列出详细技术参数偏离表。本项目不允许负偏离。</w:t>
      </w:r>
    </w:p>
    <w:p>
      <w:pPr>
        <w:keepNext w:val="0"/>
        <w:keepLines w:val="0"/>
        <w:pageBreakBefore w:val="0"/>
        <w:kinsoku/>
        <w:wordWrap/>
        <w:overflowPunct/>
        <w:topLinePunct w:val="0"/>
        <w:autoSpaceDE/>
        <w:autoSpaceDN/>
        <w:bidi w:val="0"/>
        <w:adjustRightInd/>
        <w:snapToGrid w:val="0"/>
        <w:spacing w:line="4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.报价说明</w:t>
      </w:r>
    </w:p>
    <w:p>
      <w:pPr>
        <w:keepNext w:val="0"/>
        <w:keepLines w:val="0"/>
        <w:pageBreakBefore w:val="0"/>
        <w:kinsoku/>
        <w:wordWrap/>
        <w:overflowPunct/>
        <w:topLinePunct w:val="0"/>
        <w:autoSpaceDE/>
        <w:autoSpaceDN/>
        <w:bidi w:val="0"/>
        <w:adjustRightIn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.1</w:t>
      </w:r>
      <w:r>
        <w:rPr>
          <w:rFonts w:hint="eastAsia" w:ascii="宋体" w:hAnsi="宋体" w:eastAsia="宋体" w:cs="宋体"/>
          <w:b/>
          <w:bCs/>
          <w:color w:val="auto"/>
          <w:kern w:val="0"/>
          <w:sz w:val="24"/>
          <w:szCs w:val="24"/>
          <w:highlight w:val="none"/>
        </w:rPr>
        <w:t>各供应商响应报价不得超过总价</w:t>
      </w:r>
      <w:r>
        <w:rPr>
          <w:rFonts w:hint="eastAsia" w:ascii="宋体" w:hAnsi="宋体" w:eastAsia="宋体" w:cs="宋体"/>
          <w:b/>
          <w:bCs/>
          <w:color w:val="auto"/>
          <w:sz w:val="24"/>
          <w:szCs w:val="24"/>
          <w:highlight w:val="none"/>
        </w:rPr>
        <w:t>最高限价，</w:t>
      </w:r>
      <w:r>
        <w:rPr>
          <w:rFonts w:hint="eastAsia" w:ascii="宋体" w:hAnsi="宋体" w:eastAsia="宋体" w:cs="宋体"/>
          <w:b/>
          <w:bCs/>
          <w:color w:val="auto"/>
          <w:kern w:val="0"/>
          <w:sz w:val="24"/>
          <w:szCs w:val="24"/>
          <w:highlight w:val="none"/>
        </w:rPr>
        <w:t>须在其响应文件中提供报价分项报价表并详细列明分项内容。</w:t>
      </w:r>
    </w:p>
    <w:p>
      <w:pPr>
        <w:keepNext w:val="0"/>
        <w:keepLines w:val="0"/>
        <w:pageBreakBefore w:val="0"/>
        <w:kinsoku/>
        <w:wordWrap/>
        <w:overflowPunct/>
        <w:topLinePunct w:val="0"/>
        <w:autoSpaceDE/>
        <w:autoSpaceDN/>
        <w:bidi w:val="0"/>
        <w:adjustRightIn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供应商所投货物为生产厂家的正规合格产品，所有货物均为全新原厂原包装（未经使用和非展览会展示样品设备，外观无刮、碰痕迹，并有下列明显标记：名称、品牌型号、制造商标识、产地、出厂日期、出产序列号等），货物的制造标准及技术规范等有关资料必须符合国家相关标准、规范要求。</w:t>
      </w:r>
    </w:p>
    <w:p>
      <w:pPr>
        <w:keepNext w:val="0"/>
        <w:keepLines w:val="0"/>
        <w:pageBreakBefore w:val="0"/>
        <w:kinsoku/>
        <w:wordWrap/>
        <w:overflowPunct/>
        <w:topLinePunct w:val="0"/>
        <w:autoSpaceDE/>
        <w:autoSpaceDN/>
        <w:bidi w:val="0"/>
        <w:adjustRightInd/>
        <w:spacing w:line="400" w:lineRule="exact"/>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5.4供应商的报价应包含有税费、货物生产、制造、包装、运输、人工、安装调试费及安装所需的辅料、验收、保修、退换货等履行本项目所支付的所有费用。</w:t>
      </w:r>
    </w:p>
    <w:p>
      <w:pPr>
        <w:keepNext w:val="0"/>
        <w:keepLines w:val="0"/>
        <w:pageBreakBefore w:val="0"/>
        <w:kinsoku/>
        <w:wordWrap/>
        <w:overflowPunct/>
        <w:topLinePunct w:val="0"/>
        <w:autoSpaceDE/>
        <w:autoSpaceDN/>
        <w:bidi w:val="0"/>
        <w:adjustRightInd/>
        <w:spacing w:line="400" w:lineRule="exact"/>
        <w:ind w:firstLine="480" w:firstLineChars="200"/>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5.5本次采购项目中的门禁管理模块需要与采购人原有视频安防系统（SPCC）实现对接，原有系统为Infovision SPCC_ACS接口。供应商承诺所投的门禁管理模块可以与采购人原有视频安防系统实现数据对接，以便采购人更好的完成安防工作。对接可能产生的相关费用包含在投标总价中，采购人不再支付任何费用。</w:t>
      </w:r>
      <w:r>
        <w:rPr>
          <w:rFonts w:hint="eastAsia" w:ascii="宋体" w:hAnsi="宋体" w:cs="宋体"/>
          <w:b/>
          <w:bCs/>
          <w:color w:val="auto"/>
          <w:sz w:val="24"/>
          <w:szCs w:val="24"/>
          <w:highlight w:val="none"/>
          <w:lang w:val="en-US" w:eastAsia="zh-CN"/>
        </w:rPr>
        <w:t>（须提供专项承诺函）</w:t>
      </w:r>
    </w:p>
    <w:p>
      <w:pPr>
        <w:keepNext w:val="0"/>
        <w:keepLines w:val="0"/>
        <w:pageBreakBefore w:val="0"/>
        <w:kinsoku/>
        <w:wordWrap/>
        <w:overflowPunct/>
        <w:topLinePunct w:val="0"/>
        <w:autoSpaceDE/>
        <w:autoSpaceDN/>
        <w:bidi w:val="0"/>
        <w:adjustRightInd/>
        <w:spacing w:line="40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p>
      <w:pPr>
        <w:keepNext w:val="0"/>
        <w:keepLines w:val="0"/>
        <w:pageBreakBefore w:val="0"/>
        <w:kinsoku/>
        <w:wordWrap/>
        <w:overflowPunct/>
        <w:topLinePunct w:val="0"/>
        <w:autoSpaceDE/>
        <w:autoSpaceDN/>
        <w:bidi w:val="0"/>
        <w:adjustRightInd/>
        <w:spacing w:line="400" w:lineRule="exact"/>
        <w:rPr>
          <w:rFonts w:hint="eastAsia" w:ascii="宋体" w:hAnsi="宋体" w:cs="宋体"/>
          <w:b/>
          <w:color w:val="auto"/>
          <w:sz w:val="24"/>
          <w:szCs w:val="24"/>
          <w:highlight w:val="none"/>
          <w:lang w:val="en-US" w:eastAsia="zh-CN"/>
        </w:rPr>
      </w:pPr>
      <w:r>
        <w:rPr>
          <w:rFonts w:hint="eastAsia" w:ascii="宋体" w:hAnsi="宋体" w:cs="宋体"/>
          <w:b/>
          <w:color w:val="auto"/>
          <w:sz w:val="24"/>
          <w:szCs w:val="24"/>
          <w:highlight w:val="none"/>
          <w:lang w:val="en-US" w:eastAsia="zh-CN"/>
        </w:rPr>
        <w:t>2.1技术参数要求</w:t>
      </w:r>
    </w:p>
    <w:tbl>
      <w:tblPr>
        <w:tblStyle w:val="20"/>
        <w:tblW w:w="4994"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7"/>
        <w:gridCol w:w="760"/>
        <w:gridCol w:w="4158"/>
        <w:gridCol w:w="565"/>
        <w:gridCol w:w="505"/>
        <w:gridCol w:w="892"/>
        <w:gridCol w:w="952"/>
        <w:gridCol w:w="15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32" w:type="pc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货物名称</w:t>
            </w:r>
          </w:p>
        </w:tc>
        <w:tc>
          <w:tcPr>
            <w:tcW w:w="21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技术参数</w:t>
            </w: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数量</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单位</w:t>
            </w:r>
          </w:p>
        </w:tc>
        <w:tc>
          <w:tcPr>
            <w:tcW w:w="4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单价（元）</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总价（元）</w:t>
            </w:r>
          </w:p>
        </w:tc>
        <w:tc>
          <w:tcPr>
            <w:tcW w:w="788" w:type="pct"/>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四门控制器</w:t>
            </w:r>
          </w:p>
        </w:tc>
        <w:tc>
          <w:tcPr>
            <w:tcW w:w="21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1.管控门数：4门；</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2.通讯方式：上行TCP/IP；</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3.可接读卡器：RS485读卡器*8、Wieg</w:t>
            </w: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4481830</wp:posOffset>
                  </wp:positionH>
                  <wp:positionV relativeFrom="paragraph">
                    <wp:posOffset>1449070</wp:posOffset>
                  </wp:positionV>
                  <wp:extent cx="922655" cy="1094105"/>
                  <wp:effectExtent l="0" t="0" r="10795" b="10795"/>
                  <wp:wrapNone/>
                  <wp:docPr id="6" name="Picture_1"/>
                  <wp:cNvGraphicFramePr/>
                  <a:graphic xmlns:a="http://schemas.openxmlformats.org/drawingml/2006/main">
                    <a:graphicData uri="http://schemas.openxmlformats.org/drawingml/2006/picture">
                      <pic:pic xmlns:pic="http://schemas.openxmlformats.org/drawingml/2006/picture">
                        <pic:nvPicPr>
                          <pic:cNvPr id="6" name="Picture_1"/>
                          <pic:cNvPicPr/>
                        </pic:nvPicPr>
                        <pic:blipFill>
                          <a:blip r:embed="rId5"/>
                          <a:srcRect l="14740" r="19862"/>
                          <a:stretch>
                            <a:fillRect/>
                          </a:stretch>
                        </pic:blipFill>
                        <pic:spPr>
                          <a:xfrm>
                            <a:off x="0" y="0"/>
                            <a:ext cx="922655" cy="1094105"/>
                          </a:xfrm>
                          <a:prstGeom prst="rect">
                            <a:avLst/>
                          </a:prstGeom>
                          <a:noFill/>
                          <a:ln>
                            <a:noFill/>
                          </a:ln>
                        </pic:spPr>
                      </pic:pic>
                    </a:graphicData>
                  </a:graphic>
                </wp:anchor>
              </w:drawing>
            </w:r>
            <w:r>
              <w:rPr>
                <w:rFonts w:hint="eastAsia" w:ascii="宋体" w:hAnsi="宋体" w:eastAsia="宋体" w:cs="宋体"/>
                <w:i w:val="0"/>
                <w:iCs w:val="0"/>
                <w:color w:val="auto"/>
                <w:kern w:val="0"/>
                <w:sz w:val="24"/>
                <w:szCs w:val="24"/>
                <w:u w:val="none"/>
                <w:lang w:val="en-US" w:eastAsia="zh-CN" w:bidi="ar"/>
              </w:rPr>
              <w:t>and读卡器*4；</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4.存储容量：10万张卡和30万记录存储；</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5.门禁高级功能：支持多门互锁、跨主机反潜回、多重卡认证等；</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6.输入接口：报警输入*4、门磁*4、开门按钮*4、Case输入*8、防拆*1；</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7.输出接口：开门继电器*4、报警继电器*4；</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8.其他功能：带消防联动继电器接口、接蓄电池功能接口；</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9.工作电压：DC 12V（自带开关电源：220V输入，12V/100W输出）；</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10机箱尺寸：345mm(高)*370mm(宽) *90mm(厚)；</w:t>
            </w: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台</w:t>
            </w:r>
          </w:p>
        </w:tc>
        <w:tc>
          <w:tcPr>
            <w:tcW w:w="4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2758</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27580</w:t>
            </w:r>
          </w:p>
        </w:tc>
        <w:tc>
          <w:tcPr>
            <w:tcW w:w="788"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人脸门禁</w:t>
            </w:r>
          </w:p>
        </w:tc>
        <w:tc>
          <w:tcPr>
            <w:tcW w:w="21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1.操作系统：嵌入式Linux操作系统；</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2.屏幕：7英寸触摸显示屏，屏幕比例9:16，屏幕分辨率600*1024；</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3.摄像头：采用宽动态200万双目摄像头；</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4.认证方式：支持人脸、刷卡（IC卡、手机NFC卡、CPU卡序列号/内容、身份证卡序列号）、密码等方式，可外接身份证功能模块；</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5.人脸识别：采用深度学习算法，支持照片、视频防假；1:N人脸识别速度≤0.2s，人脸验证准确率≥99%；</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6.存储容量：本地支持2万人脸库、5万张卡，15万条事件记录；</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7.硬件接口：LAN*1、RS485*1、Wiegand * 1(支持双向)、typeA类型USB接口*1、门锁*1、门磁*1、报警输入*2、报警输出*1、开门按钮*1、SD卡槽*1（最大支持512GB）；</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8.通信方式：有线网络；</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9.使用环境：IP65，室内外环境（室外使用必须搭配遮阳罩）；</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10.安装方式：壁挂安装（标配挂板，适配86底盒）/桌面摆放/闸机安装/地面支架；</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11.电源输入： DC12V/2A（电源需另配）；</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12.设备尺寸：233.99*118.2*26.5mm；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13.设备重量：净重：0.64kg；毛重：1.016kg；</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14.可视对讲：支持和云眸、4200客户端、室内机、管理机进行可视对讲；支持配置一键呼叫室内机或管理机；支持副门口机或围墙机模式；</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15.视频预览：支持管理中心远程视频预览，支持接入NVR设备，实现视频监控录像，编码格式H.264、H.265；</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16.口罩检测：支持口罩检测模式，可配置提醒戴口罩模式、强制戴口罩模式，关联门禁控制；</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17.提醒戴口罩模式：未带口罩可做身份验证，身份验证通过后提醒佩戴口罩；</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强制戴口罩模式：未带口罩无法做身份验证，提醒佩戴口罩；</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18.识别界面可配：识别主界面的“呼叫”、“二维码”、“密码”的按键图标可分别配置是否显示；</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19.认证结果显示可配：支持认证成功界面的“照片”、“姓名”、“工号”信息可配置是否显示；</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20.认证结果语音自定义：集成文字转语音（TTS）和语音合成技术，认证成功和认证失败的语音可以分别配置4个时间段进行自定义播报，同时认证成功的语音可叠加播报姓名；</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21.工作模式：支持广告模式、简洁模式主题模式；</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22.广告模式：识别区域与广告区域分屏展示，支持图片（JPG格式，分辨率建议600*640，最多8张轮播）广告信息播放，图片切换时间可配置；</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23.简洁模式：识别界面不显示视频预览画面，仅显示背景图及比对结果，背景图片可自定义；</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24.外接安全模块：支持通过RS485接入门控安全模块，防止主机被恶意破坏的情况下，门锁不被打开；</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25.外接读卡器：支持通过RS485或韦根（W26/W34）接口外接1个读卡器，同时可实现单门反潜回功能；</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26.读卡器模式：支持通过RS485或韦根（W26/W34）接入门禁控制器，作为读卡器模式使用；</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27.门禁计划模板：支持255组计划模板管理，128个周计划，1024个假日计划；支持常开、常闭时段管理；</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28.组合认证：刷卡+密码、刷卡+人脸、人脸+密码等组合认证方式；</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 xml:space="preserve">29.多重认证：支持多个人员认证（人脸、刷卡等）通过后才开门； </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30.报警功能：设备支持防拆报警、门被外力开起报警、胁迫卡和胁迫密码报警等；</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31.事件上传：在线状态下将设备认证结果及联动抓拍照片实时上传给平台，支持断网续传功能，设备离线状态下产生事件在与平台连接后会重新上传；</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32.单机使用：设备可进行本地管理，支持本地注册人脸、查询、设置、管理设备参数等；</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33.WEB管理：支持Web端管理，可进行人员管理、参数配置、事件查询、系统维护等操作。</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台</w:t>
            </w:r>
          </w:p>
        </w:tc>
        <w:tc>
          <w:tcPr>
            <w:tcW w:w="4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2635</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52700</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drawing>
                <wp:anchor distT="0" distB="0" distL="114300" distR="114300" simplePos="0" relativeHeight="251659264" behindDoc="0" locked="0" layoutInCell="1" allowOverlap="1">
                  <wp:simplePos x="0" y="0"/>
                  <wp:positionH relativeFrom="column">
                    <wp:posOffset>-49530</wp:posOffset>
                  </wp:positionH>
                  <wp:positionV relativeFrom="paragraph">
                    <wp:posOffset>2642870</wp:posOffset>
                  </wp:positionV>
                  <wp:extent cx="933450" cy="1209675"/>
                  <wp:effectExtent l="0" t="0" r="0" b="9525"/>
                  <wp:wrapNone/>
                  <wp:docPr id="3" name="Picture_1_SpCnt_1"/>
                  <wp:cNvGraphicFramePr/>
                  <a:graphic xmlns:a="http://schemas.openxmlformats.org/drawingml/2006/main">
                    <a:graphicData uri="http://schemas.openxmlformats.org/drawingml/2006/picture">
                      <pic:pic xmlns:pic="http://schemas.openxmlformats.org/drawingml/2006/picture">
                        <pic:nvPicPr>
                          <pic:cNvPr id="3" name="Picture_1_SpCnt_1"/>
                          <pic:cNvPicPr/>
                        </pic:nvPicPr>
                        <pic:blipFill>
                          <a:blip r:embed="rId6"/>
                          <a:srcRect l="37846" t="14103" r="37194" b="11898"/>
                          <a:stretch>
                            <a:fillRect/>
                          </a:stretch>
                        </pic:blipFill>
                        <pic:spPr>
                          <a:xfrm>
                            <a:off x="0" y="0"/>
                            <a:ext cx="933450" cy="120967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双门磁力锁 </w:t>
            </w:r>
          </w:p>
        </w:tc>
        <w:tc>
          <w:tcPr>
            <w:tcW w:w="21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1.锁体主体颜色：氧化银；</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2.最大静态直线拉力：280kg ±5%*2；</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断电开锁，满足消防要求；</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3.具有电锁状态指示灯（红灯为开锁状态，绿灯为上锁状态）；</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4.支持锁状态侦测信号(门磁)输出：NO/NC/COM接点；</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5.工作电压：12V/1040mA或24V/520mA；</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6.锁体尺寸：长480*宽48.8*厚27.5(mm)；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7.吸板尺寸：长180*宽38.8*高13(mm)；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8.使用环境：室内（不防水）；</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9.适用门型：木门、玻璃门、金属门、防火门；</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607</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6070</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-13970</wp:posOffset>
                  </wp:positionH>
                  <wp:positionV relativeFrom="paragraph">
                    <wp:posOffset>1679575</wp:posOffset>
                  </wp:positionV>
                  <wp:extent cx="965835" cy="400050"/>
                  <wp:effectExtent l="0" t="0" r="5715" b="0"/>
                  <wp:wrapNone/>
                  <wp:docPr id="4" name="Picture_1_SpCnt_2"/>
                  <wp:cNvGraphicFramePr/>
                  <a:graphic xmlns:a="http://schemas.openxmlformats.org/drawingml/2006/main">
                    <a:graphicData uri="http://schemas.openxmlformats.org/drawingml/2006/picture">
                      <pic:pic xmlns:pic="http://schemas.openxmlformats.org/drawingml/2006/picture">
                        <pic:nvPicPr>
                          <pic:cNvPr id="4" name="Picture_1_SpCnt_2"/>
                          <pic:cNvPicPr/>
                        </pic:nvPicPr>
                        <pic:blipFill>
                          <a:blip r:embed="rId7"/>
                          <a:srcRect t="30673" b="34913"/>
                          <a:stretch>
                            <a:fillRect/>
                          </a:stretch>
                        </pic:blipFill>
                        <pic:spPr>
                          <a:xfrm>
                            <a:off x="0" y="0"/>
                            <a:ext cx="965835" cy="40005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双门磁力锁支架</w:t>
            </w:r>
          </w:p>
        </w:tc>
        <w:tc>
          <w:tcPr>
            <w:tcW w:w="21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1.材质：高强铝合金，表面喷沙；</w:t>
            </w:r>
          </w:p>
          <w:p>
            <w:pPr>
              <w:keepNext w:val="0"/>
              <w:keepLines w:val="0"/>
              <w:pageBreakBefore w:val="0"/>
              <w:widowControl/>
              <w:suppressLineNumbers w:val="0"/>
              <w:kinsoku/>
              <w:wordWrap w:val="0"/>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2.颜色：氧化银；</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3.外壳处理：阳极硬化电镀处理；</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4.适用门型：木门、金属门；</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5.开门方式：90度内开式门；</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6.产品重量：1.5kg</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7.L型支架尺寸：长480*宽48.8*厚30.4(mm)；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8.Z型支架尺寸：长180*宽50*厚50(mm)；</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290</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2900</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-34290</wp:posOffset>
                  </wp:positionH>
                  <wp:positionV relativeFrom="paragraph">
                    <wp:posOffset>1032510</wp:posOffset>
                  </wp:positionV>
                  <wp:extent cx="949325" cy="485775"/>
                  <wp:effectExtent l="0" t="0" r="3175" b="9525"/>
                  <wp:wrapNone/>
                  <wp:docPr id="5" name="Picture_1_SpCnt_3"/>
                  <wp:cNvGraphicFramePr/>
                  <a:graphic xmlns:a="http://schemas.openxmlformats.org/drawingml/2006/main">
                    <a:graphicData uri="http://schemas.openxmlformats.org/drawingml/2006/picture">
                      <pic:pic xmlns:pic="http://schemas.openxmlformats.org/drawingml/2006/picture">
                        <pic:nvPicPr>
                          <pic:cNvPr id="5" name="Picture_1_SpCnt_3"/>
                          <pic:cNvPicPr/>
                        </pic:nvPicPr>
                        <pic:blipFill>
                          <a:blip r:embed="rId8"/>
                          <a:srcRect t="13682" b="15423"/>
                          <a:stretch>
                            <a:fillRect/>
                          </a:stretch>
                        </pic:blipFill>
                        <pic:spPr>
                          <a:xfrm>
                            <a:off x="0" y="0"/>
                            <a:ext cx="949325" cy="48577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破碎出门按钮 </w:t>
            </w:r>
          </w:p>
        </w:tc>
        <w:tc>
          <w:tcPr>
            <w:tcW w:w="21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1.标准结构：选用防火材料，绿色；</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2.电气性能：最大耐用电流3A@36VDC；</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3.适用门型：安全门、逃生门、安全系统等；</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4.尺寸：86*86*50mm；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5.接点输出：NO/NC/COM；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6.如需补充玻璃片，请用303700415 K7PEB玻璃片(绿色)/中文；</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68</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680</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-40005</wp:posOffset>
                  </wp:positionH>
                  <wp:positionV relativeFrom="paragraph">
                    <wp:posOffset>476250</wp:posOffset>
                  </wp:positionV>
                  <wp:extent cx="923925" cy="1017270"/>
                  <wp:effectExtent l="0" t="0" r="9525" b="11430"/>
                  <wp:wrapNone/>
                  <wp:docPr id="1" name="Picture_1_SpCnt_4"/>
                  <wp:cNvGraphicFramePr/>
                  <a:graphic xmlns:a="http://schemas.openxmlformats.org/drawingml/2006/main">
                    <a:graphicData uri="http://schemas.openxmlformats.org/drawingml/2006/picture">
                      <pic:pic xmlns:pic="http://schemas.openxmlformats.org/drawingml/2006/picture">
                        <pic:nvPicPr>
                          <pic:cNvPr id="1" name="Picture_1_SpCnt_4"/>
                          <pic:cNvPicPr/>
                        </pic:nvPicPr>
                        <pic:blipFill>
                          <a:blip r:embed="rId9"/>
                          <a:srcRect l="16193" r="17330"/>
                          <a:stretch>
                            <a:fillRect/>
                          </a:stretch>
                        </pic:blipFill>
                        <pic:spPr>
                          <a:xfrm>
                            <a:off x="0" y="0"/>
                            <a:ext cx="923925" cy="101727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门禁开关电源</w:t>
            </w:r>
          </w:p>
        </w:tc>
        <w:tc>
          <w:tcPr>
            <w:tcW w:w="21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1.输入电压：100-240VAC；</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4557395</wp:posOffset>
                  </wp:positionH>
                  <wp:positionV relativeFrom="paragraph">
                    <wp:posOffset>356235</wp:posOffset>
                  </wp:positionV>
                  <wp:extent cx="803910" cy="1094740"/>
                  <wp:effectExtent l="0" t="0" r="15240" b="10160"/>
                  <wp:wrapNone/>
                  <wp:docPr id="7" name="图片_3"/>
                  <wp:cNvGraphicFramePr/>
                  <a:graphic xmlns:a="http://schemas.openxmlformats.org/drawingml/2006/main">
                    <a:graphicData uri="http://schemas.openxmlformats.org/drawingml/2006/picture">
                      <pic:pic xmlns:pic="http://schemas.openxmlformats.org/drawingml/2006/picture">
                        <pic:nvPicPr>
                          <pic:cNvPr id="7" name="图片_3"/>
                          <pic:cNvPicPr/>
                        </pic:nvPicPr>
                        <pic:blipFill>
                          <a:blip r:embed="rId10"/>
                          <a:srcRect l="7935" b="6112"/>
                          <a:stretch>
                            <a:fillRect/>
                          </a:stretch>
                        </pic:blipFill>
                        <pic:spPr>
                          <a:xfrm>
                            <a:off x="0" y="0"/>
                            <a:ext cx="803910" cy="1094740"/>
                          </a:xfrm>
                          <a:prstGeom prst="rect">
                            <a:avLst/>
                          </a:prstGeom>
                          <a:noFill/>
                          <a:ln>
                            <a:noFill/>
                          </a:ln>
                        </pic:spPr>
                      </pic:pic>
                    </a:graphicData>
                  </a:graphic>
                </wp:anchor>
              </w:drawing>
            </w:r>
            <w:r>
              <w:rPr>
                <w:rFonts w:hint="eastAsia" w:ascii="宋体" w:hAnsi="宋体" w:eastAsia="宋体" w:cs="宋体"/>
                <w:i w:val="0"/>
                <w:iCs w:val="0"/>
                <w:color w:val="auto"/>
                <w:kern w:val="0"/>
                <w:sz w:val="24"/>
                <w:szCs w:val="24"/>
                <w:u w:val="none"/>
                <w:lang w:val="en-US" w:eastAsia="zh-CN" w:bidi="ar"/>
              </w:rPr>
              <w:t>2.输出电压：12VDC；</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3.输出电流：4.17A；</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4.输出功率：50W；</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5.支持蓄电池（0T7-12）接入（设备本身不含蓄电池）；</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6.工作温度：-10℃-+50℃；</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7.工作湿度：＜95%；</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8.机箱尺寸：237*285*85mm；</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台</w:t>
            </w:r>
          </w:p>
        </w:tc>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554</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5540</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金属过线器</w:t>
            </w:r>
          </w:p>
        </w:tc>
        <w:tc>
          <w:tcPr>
            <w:tcW w:w="21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过线保护器不锈钢防夹穿线管网线导线护线软管金属弹簧门禁过线器</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59</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1180</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网络线</w:t>
            </w:r>
          </w:p>
        </w:tc>
        <w:tc>
          <w:tcPr>
            <w:tcW w:w="21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 六类网线</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1500</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米</w:t>
            </w:r>
          </w:p>
        </w:tc>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3.5</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5250</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电源线</w:t>
            </w:r>
          </w:p>
        </w:tc>
        <w:tc>
          <w:tcPr>
            <w:tcW w:w="21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RVV电源线(2×1.5m</w:t>
            </w:r>
            <w:r>
              <w:rPr>
                <w:rFonts w:hint="eastAsia" w:ascii="宋体" w:hAnsi="宋体" w:eastAsia="宋体" w:cs="宋体"/>
                <w:i w:val="0"/>
                <w:iCs w:val="0"/>
                <w:color w:val="auto"/>
                <w:kern w:val="0"/>
                <w:sz w:val="24"/>
                <w:szCs w:val="24"/>
                <w:u w:val="none"/>
                <w:vertAlign w:val="superscript"/>
                <w:lang w:val="en-US" w:eastAsia="zh-CN" w:bidi="ar"/>
              </w:rPr>
              <w:t>2</w:t>
            </w:r>
            <w:r>
              <w:rPr>
                <w:rFonts w:hint="eastAsia" w:ascii="宋体" w:hAnsi="宋体" w:eastAsia="宋体" w:cs="宋体"/>
                <w:i w:val="0"/>
                <w:iCs w:val="0"/>
                <w:color w:val="auto"/>
                <w:kern w:val="0"/>
                <w:sz w:val="24"/>
                <w:szCs w:val="24"/>
                <w:u w:val="none"/>
                <w:lang w:val="en-US" w:eastAsia="zh-CN" w:bidi="ar"/>
              </w:rPr>
              <w:t>)</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1000</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米</w:t>
            </w:r>
          </w:p>
        </w:tc>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4000</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信号线</w:t>
            </w:r>
          </w:p>
        </w:tc>
        <w:tc>
          <w:tcPr>
            <w:tcW w:w="21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RVV4芯线（4×0.75）</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400</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米</w:t>
            </w:r>
          </w:p>
        </w:tc>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5.5</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2200</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PVC管</w:t>
            </w:r>
          </w:p>
        </w:tc>
        <w:tc>
          <w:tcPr>
            <w:tcW w:w="21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 25#</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1000</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米</w:t>
            </w:r>
          </w:p>
        </w:tc>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1200</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安装调试</w:t>
            </w:r>
          </w:p>
        </w:tc>
        <w:tc>
          <w:tcPr>
            <w:tcW w:w="21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线路敷设部分位置墙面开槽预埋管道墙面修复，墙面取孔，不锈钢门取孔过线，设备安装调试等</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项</w:t>
            </w:r>
          </w:p>
        </w:tc>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auto"/>
                <w:sz w:val="24"/>
                <w:szCs w:val="24"/>
                <w:u w:val="none"/>
                <w:lang w:val="en-US"/>
              </w:rPr>
            </w:pPr>
            <w:r>
              <w:rPr>
                <w:rFonts w:hint="eastAsia" w:ascii="宋体" w:hAnsi="宋体" w:cs="宋体"/>
                <w:i w:val="0"/>
                <w:iCs w:val="0"/>
                <w:color w:val="auto"/>
                <w:kern w:val="0"/>
                <w:sz w:val="24"/>
                <w:szCs w:val="24"/>
                <w:u w:val="none"/>
                <w:lang w:val="en-US" w:eastAsia="zh-CN" w:bidi="ar"/>
              </w:rPr>
              <w:t>20000</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auto"/>
                <w:sz w:val="24"/>
                <w:szCs w:val="24"/>
                <w:u w:val="none"/>
                <w:lang w:val="en-US"/>
              </w:rPr>
            </w:pPr>
            <w:r>
              <w:rPr>
                <w:rFonts w:hint="eastAsia" w:ascii="宋体" w:hAnsi="宋体" w:cs="宋体"/>
                <w:i w:val="0"/>
                <w:iCs w:val="0"/>
                <w:color w:val="auto"/>
                <w:kern w:val="0"/>
                <w:sz w:val="24"/>
                <w:szCs w:val="24"/>
                <w:u w:val="none"/>
                <w:lang w:val="en-US" w:eastAsia="zh-CN" w:bidi="ar"/>
              </w:rPr>
              <w:t>20000</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rPr>
                <w:rFonts w:hint="eastAsia" w:ascii="宋体" w:hAnsi="宋体" w:eastAsia="宋体" w:cs="宋体"/>
                <w:i w:val="0"/>
                <w:iCs w:val="0"/>
                <w:color w:val="auto"/>
                <w:sz w:val="24"/>
                <w:szCs w:val="24"/>
                <w:u w:val="none"/>
              </w:rPr>
            </w:pPr>
          </w:p>
        </w:tc>
        <w:tc>
          <w:tcPr>
            <w:tcW w:w="349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合计金额：</w:t>
            </w:r>
          </w:p>
        </w:tc>
        <w:tc>
          <w:tcPr>
            <w:tcW w:w="4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1</w:t>
            </w:r>
            <w:r>
              <w:rPr>
                <w:rFonts w:hint="eastAsia" w:ascii="宋体" w:hAnsi="宋体" w:cs="宋体"/>
                <w:b/>
                <w:bCs/>
                <w:i w:val="0"/>
                <w:iCs w:val="0"/>
                <w:color w:val="auto"/>
                <w:kern w:val="0"/>
                <w:sz w:val="24"/>
                <w:szCs w:val="24"/>
                <w:u w:val="none"/>
                <w:lang w:val="en-US" w:eastAsia="zh-CN" w:bidi="ar"/>
              </w:rPr>
              <w:t>293</w:t>
            </w:r>
            <w:r>
              <w:rPr>
                <w:rFonts w:hint="eastAsia" w:ascii="宋体" w:hAnsi="宋体" w:eastAsia="宋体" w:cs="宋体"/>
                <w:b/>
                <w:bCs/>
                <w:i w:val="0"/>
                <w:iCs w:val="0"/>
                <w:color w:val="auto"/>
                <w:kern w:val="0"/>
                <w:sz w:val="24"/>
                <w:szCs w:val="24"/>
                <w:u w:val="none"/>
                <w:lang w:val="en-US" w:eastAsia="zh-CN" w:bidi="ar"/>
              </w:rPr>
              <w:t>00</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rPr>
                <w:rFonts w:hint="eastAsia" w:ascii="宋体" w:hAnsi="宋体" w:eastAsia="宋体" w:cs="宋体"/>
                <w:i w:val="0"/>
                <w:iCs w:val="0"/>
                <w:color w:val="auto"/>
                <w:sz w:val="24"/>
                <w:szCs w:val="24"/>
                <w:u w:val="none"/>
              </w:rPr>
            </w:pPr>
          </w:p>
        </w:tc>
      </w:tr>
    </w:tbl>
    <w:p>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b/>
          <w:bCs/>
          <w:color w:val="auto"/>
          <w:kern w:val="0"/>
          <w:sz w:val="24"/>
          <w:szCs w:val="24"/>
          <w:highlight w:val="none"/>
        </w:rPr>
      </w:pPr>
    </w:p>
    <w:p>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1.交付地点：采购人指定地点。</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2.</w:t>
      </w:r>
      <w:r>
        <w:rPr>
          <w:rFonts w:hint="eastAsia" w:ascii="宋体" w:hAnsi="宋体" w:eastAsia="宋体" w:cs="宋体"/>
          <w:b/>
          <w:bCs/>
          <w:color w:val="auto"/>
          <w:kern w:val="0"/>
          <w:sz w:val="24"/>
          <w:szCs w:val="24"/>
          <w:highlight w:val="none"/>
          <w:lang w:eastAsia="zh-CN"/>
        </w:rPr>
        <w:t>交付时间</w:t>
      </w:r>
      <w:r>
        <w:rPr>
          <w:rFonts w:hint="eastAsia" w:ascii="宋体" w:hAnsi="宋体" w:eastAsia="宋体" w:cs="宋体"/>
          <w:b/>
          <w:bCs/>
          <w:color w:val="auto"/>
          <w:kern w:val="0"/>
          <w:sz w:val="24"/>
          <w:szCs w:val="24"/>
          <w:highlight w:val="none"/>
        </w:rPr>
        <w:t>：自合同签订之日起30个工作日内交付。</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3.交付条件：按竞价文件及合同规定执行。</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4.</w:t>
      </w:r>
      <w:r>
        <w:rPr>
          <w:rFonts w:hint="eastAsia" w:ascii="宋体" w:hAnsi="宋体" w:eastAsia="宋体" w:cs="宋体"/>
          <w:b/>
          <w:bCs/>
          <w:color w:val="auto"/>
          <w:sz w:val="24"/>
          <w:szCs w:val="24"/>
          <w:highlight w:val="none"/>
        </w:rPr>
        <w:t>履约保证金：</w:t>
      </w:r>
    </w:p>
    <w:p>
      <w:pPr>
        <w:keepNext w:val="0"/>
        <w:keepLines w:val="0"/>
        <w:pageBreakBefore w:val="0"/>
        <w:kinsoku/>
        <w:wordWrap/>
        <w:overflowPunct/>
        <w:topLinePunct w:val="0"/>
        <w:autoSpaceDE/>
        <w:autoSpaceDN/>
        <w:bidi w:val="0"/>
        <w:adjustRightInd/>
        <w:spacing w:line="400" w:lineRule="exact"/>
        <w:ind w:firstLine="482" w:firstLineChars="20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履约保证金百分比：</w:t>
      </w:r>
      <w:r>
        <w:rPr>
          <w:rFonts w:hint="eastAsia" w:ascii="宋体" w:hAnsi="宋体" w:eastAsia="宋体" w:cs="宋体"/>
          <w:b/>
          <w:bCs/>
          <w:color w:val="auto"/>
          <w:kern w:val="0"/>
          <w:sz w:val="24"/>
          <w:szCs w:val="24"/>
          <w:highlight w:val="none"/>
          <w:u w:val="single"/>
          <w:lang w:val="en-US" w:eastAsia="zh-CN"/>
        </w:rPr>
        <w:t>5</w:t>
      </w:r>
      <w:r>
        <w:rPr>
          <w:rFonts w:hint="eastAsia" w:ascii="宋体" w:hAnsi="宋体" w:cs="宋体"/>
          <w:b/>
          <w:bCs/>
          <w:color w:val="auto"/>
          <w:kern w:val="0"/>
          <w:sz w:val="24"/>
          <w:szCs w:val="24"/>
          <w:highlight w:val="none"/>
          <w:u w:val="single"/>
          <w:lang w:val="en-US" w:eastAsia="zh-CN"/>
        </w:rPr>
        <w:t xml:space="preserve"> </w:t>
      </w:r>
      <w:r>
        <w:rPr>
          <w:rFonts w:hint="eastAsia" w:ascii="宋体" w:hAnsi="宋体" w:eastAsia="宋体" w:cs="宋体"/>
          <w:b/>
          <w:bCs/>
          <w:color w:val="auto"/>
          <w:kern w:val="0"/>
          <w:sz w:val="24"/>
          <w:szCs w:val="24"/>
          <w:highlight w:val="none"/>
        </w:rPr>
        <w:t>%。说明：成交供应商在签订合同前，以转账方式向采购人缴纳合同总金额</w:t>
      </w:r>
      <w:r>
        <w:rPr>
          <w:rFonts w:hint="eastAsia" w:ascii="宋体" w:hAnsi="宋体" w:eastAsia="宋体" w:cs="宋体"/>
          <w:b/>
          <w:bCs/>
          <w:color w:val="auto"/>
          <w:kern w:val="0"/>
          <w:sz w:val="24"/>
          <w:szCs w:val="24"/>
          <w:highlight w:val="none"/>
          <w:u w:val="single"/>
          <w:lang w:val="en-US" w:eastAsia="zh-CN"/>
        </w:rPr>
        <w:t>5</w:t>
      </w:r>
      <w:r>
        <w:rPr>
          <w:rFonts w:hint="eastAsia" w:ascii="宋体" w:hAnsi="宋体" w:eastAsia="宋体" w:cs="宋体"/>
          <w:b/>
          <w:bCs/>
          <w:color w:val="auto"/>
          <w:kern w:val="0"/>
          <w:sz w:val="24"/>
          <w:szCs w:val="24"/>
          <w:highlight w:val="none"/>
        </w:rPr>
        <w:t>%履约保证金。履约保证金在</w:t>
      </w:r>
      <w:r>
        <w:rPr>
          <w:rFonts w:hint="eastAsia" w:ascii="宋体" w:hAnsi="宋体" w:cs="宋体"/>
          <w:b/>
          <w:bCs/>
          <w:color w:val="auto"/>
          <w:kern w:val="0"/>
          <w:sz w:val="24"/>
          <w:szCs w:val="24"/>
          <w:highlight w:val="none"/>
          <w:lang w:eastAsia="zh-CN"/>
        </w:rPr>
        <w:t>维保期满后</w:t>
      </w:r>
      <w:r>
        <w:rPr>
          <w:rFonts w:hint="eastAsia" w:ascii="宋体" w:hAnsi="宋体" w:eastAsia="宋体" w:cs="宋体"/>
          <w:b/>
          <w:bCs/>
          <w:color w:val="auto"/>
          <w:kern w:val="0"/>
          <w:sz w:val="24"/>
          <w:szCs w:val="24"/>
          <w:highlight w:val="none"/>
        </w:rPr>
        <w:t>且双方无未了事项的前提下，采购人在收到成交供应商提交书面申请等材料后30日内无息退还。</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5.验收方式：按照国家相关标准、行业标准及网上竞价文件及合同要求执行。</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6.支付方式：</w:t>
      </w:r>
      <w:r>
        <w:rPr>
          <w:rFonts w:hint="eastAsia" w:ascii="宋体" w:hAnsi="宋体" w:eastAsia="宋体" w:cs="宋体"/>
          <w:b/>
          <w:bCs/>
          <w:color w:val="auto"/>
          <w:sz w:val="24"/>
          <w:szCs w:val="24"/>
          <w:highlight w:val="none"/>
          <w:lang w:eastAsia="zh-CN"/>
        </w:rPr>
        <w:t>货物安装完成，</w:t>
      </w:r>
      <w:r>
        <w:rPr>
          <w:rFonts w:hint="eastAsia" w:ascii="宋体" w:hAnsi="宋体" w:eastAsia="宋体" w:cs="宋体"/>
          <w:b/>
          <w:bCs/>
          <w:color w:val="auto"/>
          <w:sz w:val="24"/>
          <w:szCs w:val="24"/>
          <w:highlight w:val="none"/>
        </w:rPr>
        <w:t>经验收合格无质量问题，</w:t>
      </w:r>
      <w:r>
        <w:rPr>
          <w:rFonts w:hint="eastAsia" w:ascii="宋体" w:hAnsi="宋体" w:cs="宋体"/>
          <w:b/>
          <w:bCs/>
          <w:color w:val="auto"/>
          <w:sz w:val="24"/>
          <w:szCs w:val="24"/>
          <w:highlight w:val="none"/>
          <w:lang w:eastAsia="zh-CN"/>
        </w:rPr>
        <w:t>采购人</w:t>
      </w:r>
      <w:r>
        <w:rPr>
          <w:rFonts w:hint="eastAsia" w:ascii="宋体" w:hAnsi="宋体" w:eastAsia="宋体" w:cs="宋体"/>
          <w:b/>
          <w:bCs/>
          <w:color w:val="auto"/>
          <w:sz w:val="24"/>
          <w:szCs w:val="24"/>
          <w:highlight w:val="none"/>
        </w:rPr>
        <w:t>收到增值税专用发票后，达到付款条件起</w:t>
      </w:r>
      <w:r>
        <w:rPr>
          <w:rFonts w:hint="eastAsia" w:ascii="宋体" w:hAnsi="宋体" w:cs="宋体"/>
          <w:b/>
          <w:bCs/>
          <w:color w:val="auto"/>
          <w:sz w:val="24"/>
          <w:szCs w:val="24"/>
          <w:highlight w:val="none"/>
          <w:lang w:val="en-US" w:eastAsia="zh-CN"/>
        </w:rPr>
        <w:t>15</w:t>
      </w:r>
      <w:r>
        <w:rPr>
          <w:rFonts w:hint="eastAsia" w:ascii="宋体" w:hAnsi="宋体" w:eastAsia="宋体" w:cs="宋体"/>
          <w:b/>
          <w:bCs/>
          <w:color w:val="auto"/>
          <w:sz w:val="24"/>
          <w:szCs w:val="24"/>
          <w:highlight w:val="none"/>
        </w:rPr>
        <w:t>日内</w:t>
      </w:r>
      <w:r>
        <w:rPr>
          <w:rFonts w:hint="eastAsia" w:ascii="宋体" w:hAnsi="宋体" w:cs="宋体"/>
          <w:b/>
          <w:bCs/>
          <w:color w:val="auto"/>
          <w:sz w:val="24"/>
          <w:szCs w:val="24"/>
          <w:highlight w:val="none"/>
          <w:lang w:eastAsia="zh-CN"/>
        </w:rPr>
        <w:t>，一次性</w:t>
      </w:r>
      <w:r>
        <w:rPr>
          <w:rFonts w:hint="eastAsia" w:ascii="宋体" w:hAnsi="宋体" w:eastAsia="宋体" w:cs="宋体"/>
          <w:b/>
          <w:bCs/>
          <w:color w:val="auto"/>
          <w:sz w:val="24"/>
          <w:szCs w:val="24"/>
          <w:highlight w:val="none"/>
        </w:rPr>
        <w:t>支付</w:t>
      </w:r>
      <w:r>
        <w:rPr>
          <w:rFonts w:hint="eastAsia" w:ascii="宋体" w:hAnsi="宋体" w:cs="宋体"/>
          <w:b/>
          <w:bCs/>
          <w:color w:val="auto"/>
          <w:sz w:val="24"/>
          <w:szCs w:val="24"/>
          <w:highlight w:val="none"/>
          <w:lang w:eastAsia="zh-CN"/>
        </w:rPr>
        <w:t>合同总价的</w:t>
      </w:r>
      <w:r>
        <w:rPr>
          <w:rFonts w:hint="eastAsia" w:ascii="宋体" w:hAnsi="宋体" w:eastAsia="宋体" w:cs="宋体"/>
          <w:b/>
          <w:bCs/>
          <w:color w:val="auto"/>
          <w:sz w:val="24"/>
          <w:szCs w:val="24"/>
          <w:highlight w:val="none"/>
        </w:rPr>
        <w:t>100%</w:t>
      </w:r>
    </w:p>
    <w:bookmarkEnd w:id="3"/>
    <w:bookmarkEnd w:id="4"/>
    <w:bookmarkEnd w:id="5"/>
    <w:bookmarkEnd w:id="6"/>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cs="宋体"/>
          <w:b/>
          <w:bCs w:val="0"/>
          <w:color w:val="auto"/>
          <w:sz w:val="24"/>
          <w:szCs w:val="24"/>
          <w:lang w:val="en-US" w:eastAsia="zh-CN"/>
        </w:rPr>
        <w:t>7</w:t>
      </w:r>
      <w:r>
        <w:rPr>
          <w:rFonts w:hint="eastAsia" w:ascii="宋体" w:hAnsi="宋体" w:eastAsia="宋体" w:cs="宋体"/>
          <w:b/>
          <w:bCs w:val="0"/>
          <w:color w:val="auto"/>
          <w:sz w:val="24"/>
          <w:szCs w:val="24"/>
        </w:rPr>
        <w:t>、服务要求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负责将货物按签订合同的具体数量分别运送到采购人指定的地点，</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负责派技术人员到现场进行安装、调试，并负责到验收合格交付使用为止。</w:t>
      </w:r>
      <w:r>
        <w:rPr>
          <w:rFonts w:hint="eastAsia" w:ascii="宋体" w:hAnsi="宋体" w:eastAsia="宋体" w:cs="宋体"/>
          <w:color w:val="auto"/>
          <w:sz w:val="24"/>
          <w:szCs w:val="24"/>
        </w:rPr>
        <w:t>采购人应及时进行验收，采购人无正当理由不得无故拖延验收时间</w:t>
      </w:r>
      <w:r>
        <w:rPr>
          <w:rFonts w:hint="eastAsia" w:ascii="宋体" w:hAnsi="宋体" w:eastAsia="宋体" w:cs="宋体"/>
          <w:color w:val="auto"/>
          <w:sz w:val="24"/>
          <w:szCs w:val="24"/>
          <w:lang w:eastAsia="zh-CN"/>
        </w:rPr>
        <w:t>。</w:t>
      </w:r>
      <w:r>
        <w:rPr>
          <w:rFonts w:hint="eastAsia" w:ascii="宋体" w:hAnsi="宋体" w:eastAsia="宋体" w:cs="宋体"/>
          <w:bCs/>
          <w:color w:val="auto"/>
          <w:sz w:val="24"/>
          <w:szCs w:val="24"/>
        </w:rPr>
        <w:t>所有设备必须是原厂原装包装。若发现原包装破损或技术资料不齐全等，采购人有权不予接收，</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应无条件免费重新更换。</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Cs/>
          <w:color w:val="auto"/>
          <w:sz w:val="24"/>
          <w:szCs w:val="24"/>
          <w:lang w:val="en-US" w:eastAsia="zh-CN"/>
        </w:rPr>
      </w:pPr>
      <w:r>
        <w:rPr>
          <w:rFonts w:hint="eastAsia" w:ascii="宋体" w:hAnsi="宋体" w:cs="宋体"/>
          <w:b/>
          <w:bCs w:val="0"/>
          <w:color w:val="auto"/>
          <w:sz w:val="24"/>
          <w:szCs w:val="24"/>
          <w:lang w:val="en-US" w:eastAsia="zh-CN"/>
        </w:rPr>
        <w:t>8</w:t>
      </w:r>
      <w:r>
        <w:rPr>
          <w:rFonts w:hint="eastAsia" w:ascii="宋体" w:hAnsi="宋体" w:eastAsia="宋体" w:cs="宋体"/>
          <w:b/>
          <w:bCs w:val="0"/>
          <w:color w:val="auto"/>
          <w:sz w:val="24"/>
          <w:szCs w:val="24"/>
          <w:lang w:val="en-US" w:eastAsia="zh-CN"/>
        </w:rPr>
        <w:t>、包装、保险及运输</w:t>
      </w:r>
    </w:p>
    <w:p>
      <w:pPr>
        <w:pStyle w:val="31"/>
        <w:widowControl/>
        <w:spacing w:line="400" w:lineRule="exact"/>
        <w:ind w:firstLine="480" w:firstLineChars="200"/>
        <w:jc w:val="left"/>
        <w:rPr>
          <w:rFonts w:ascii="宋体" w:hAnsi="宋体" w:eastAsia="宋体" w:cs="宋体"/>
          <w:bCs/>
          <w:color w:val="auto"/>
          <w:sz w:val="24"/>
          <w:szCs w:val="24"/>
        </w:rPr>
      </w:pPr>
      <w:r>
        <w:rPr>
          <w:rFonts w:hint="eastAsia" w:ascii="宋体" w:hAnsi="宋体" w:cs="宋体"/>
          <w:bCs/>
          <w:color w:val="auto"/>
          <w:sz w:val="24"/>
          <w:szCs w:val="24"/>
          <w:lang w:val="en-US" w:eastAsia="zh-CN"/>
        </w:rPr>
        <w:t>8</w:t>
      </w:r>
      <w:r>
        <w:rPr>
          <w:rFonts w:hint="eastAsia" w:ascii="宋体" w:hAnsi="宋体" w:eastAsia="宋体" w:cs="宋体"/>
          <w:bCs/>
          <w:color w:val="auto"/>
          <w:sz w:val="24"/>
          <w:szCs w:val="24"/>
          <w:lang w:val="en-US" w:eastAsia="zh-CN"/>
        </w:rPr>
        <w:t>.1</w:t>
      </w:r>
      <w:r>
        <w:rPr>
          <w:rFonts w:hint="eastAsia" w:ascii="宋体" w:hAnsi="宋体" w:eastAsia="宋体" w:cs="宋体"/>
          <w:bCs/>
          <w:color w:val="auto"/>
          <w:sz w:val="24"/>
          <w:szCs w:val="24"/>
        </w:rPr>
        <w:t>货物包装必须与运输方式相适应，</w:t>
      </w:r>
      <w:r>
        <w:rPr>
          <w:rFonts w:ascii="宋体" w:hAnsi="宋体" w:eastAsia="宋体" w:cs="宋体"/>
          <w:b w:val="0"/>
          <w:bCs/>
          <w:color w:val="auto"/>
          <w:sz w:val="24"/>
          <w:szCs w:val="24"/>
          <w:highlight w:val="none"/>
          <w:shd w:val="clear" w:fill="FFFFFF"/>
        </w:rPr>
        <w:t>其包装均应有良好的防湿、防锈、防潮、防雨、防腐及防碰撞的措施。</w:t>
      </w:r>
      <w:r>
        <w:rPr>
          <w:rFonts w:hint="eastAsia" w:ascii="宋体" w:hAnsi="宋体" w:eastAsia="宋体" w:cs="宋体"/>
          <w:bCs/>
          <w:color w:val="auto"/>
          <w:sz w:val="24"/>
          <w:szCs w:val="24"/>
        </w:rPr>
        <w:t>包装方式的确定及包装费用均由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负责；由于不适当的包装而造成货物在运输过程中有任何损坏由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负责。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8</w:t>
      </w:r>
      <w:r>
        <w:rPr>
          <w:rFonts w:hint="eastAsia" w:ascii="宋体" w:hAnsi="宋体" w:eastAsia="宋体" w:cs="宋体"/>
          <w:bCs/>
          <w:color w:val="auto"/>
          <w:sz w:val="24"/>
          <w:szCs w:val="24"/>
          <w:lang w:val="en-US" w:eastAsia="zh-CN"/>
        </w:rPr>
        <w:t>.2</w:t>
      </w:r>
      <w:r>
        <w:rPr>
          <w:rFonts w:hint="eastAsia" w:ascii="宋体" w:hAnsi="宋体" w:eastAsia="宋体" w:cs="宋体"/>
          <w:bCs/>
          <w:color w:val="auto"/>
          <w:sz w:val="24"/>
          <w:szCs w:val="24"/>
        </w:rPr>
        <w:t>货物包装应足以承受整个过程中的运输、转运、装卸、储存等，应充分考虑到运输途中的各种情况(如暴露于恶劣气候等)和当地的气候特点，以及露天存放的需要。</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8</w:t>
      </w:r>
      <w:r>
        <w:rPr>
          <w:rFonts w:hint="eastAsia" w:ascii="宋体" w:hAnsi="宋体" w:eastAsia="宋体" w:cs="宋体"/>
          <w:bCs/>
          <w:color w:val="auto"/>
          <w:sz w:val="24"/>
          <w:szCs w:val="24"/>
          <w:lang w:val="en-US" w:eastAsia="zh-CN"/>
        </w:rPr>
        <w:t>.3</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负责组织专业技术人员进行货物调试，采购人提供必需的基本条件和专人配合，保证各项安装工作顺利进行，安装过程中采购人或第三方配合的工作所发生的费用应由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支付给采购人或配合方。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8</w:t>
      </w:r>
      <w:r>
        <w:rPr>
          <w:rFonts w:hint="eastAsia" w:ascii="宋体" w:hAnsi="宋体" w:eastAsia="宋体" w:cs="宋体"/>
          <w:bCs/>
          <w:color w:val="auto"/>
          <w:sz w:val="24"/>
          <w:szCs w:val="24"/>
          <w:lang w:val="en-US" w:eastAsia="zh-CN"/>
        </w:rPr>
        <w:t>.4</w:t>
      </w:r>
      <w:r>
        <w:rPr>
          <w:rFonts w:hint="eastAsia" w:ascii="宋体" w:hAnsi="宋体" w:eastAsia="宋体" w:cs="宋体"/>
          <w:bCs/>
          <w:color w:val="auto"/>
          <w:sz w:val="24"/>
          <w:szCs w:val="24"/>
        </w:rPr>
        <w:t>在安装过程中，如由于</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原因导致产品损坏，</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将要负责更换或赔偿损失。</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8</w:t>
      </w:r>
      <w:r>
        <w:rPr>
          <w:rFonts w:hint="eastAsia" w:ascii="宋体" w:hAnsi="宋体" w:eastAsia="宋体" w:cs="宋体"/>
          <w:bCs/>
          <w:color w:val="auto"/>
          <w:sz w:val="24"/>
          <w:szCs w:val="24"/>
          <w:lang w:val="en-US" w:eastAsia="zh-CN"/>
        </w:rPr>
        <w:t>.5</w:t>
      </w:r>
      <w:r>
        <w:rPr>
          <w:rFonts w:hint="eastAsia" w:ascii="宋体" w:hAnsi="宋体" w:eastAsia="宋体" w:cs="宋体"/>
          <w:bCs/>
          <w:color w:val="auto"/>
          <w:sz w:val="24"/>
          <w:szCs w:val="24"/>
        </w:rPr>
        <w:t>投标人提供的</w:t>
      </w:r>
      <w:r>
        <w:rPr>
          <w:rFonts w:hint="eastAsia" w:ascii="宋体" w:hAnsi="宋体" w:eastAsia="宋体" w:cs="宋体"/>
          <w:bCs/>
          <w:color w:val="auto"/>
          <w:sz w:val="24"/>
          <w:szCs w:val="24"/>
          <w:lang w:eastAsia="zh-CN"/>
        </w:rPr>
        <w:t>所有</w:t>
      </w:r>
      <w:r>
        <w:rPr>
          <w:rFonts w:hint="eastAsia" w:ascii="宋体" w:hAnsi="宋体" w:eastAsia="宋体" w:cs="宋体"/>
          <w:bCs/>
          <w:color w:val="auto"/>
          <w:sz w:val="24"/>
          <w:szCs w:val="24"/>
        </w:rPr>
        <w:t>产品必须为原厂原装。需派原厂工程师到采购人指定地点进行安装调试。</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cs="宋体"/>
          <w:b/>
          <w:bCs w:val="0"/>
          <w:color w:val="auto"/>
          <w:sz w:val="24"/>
          <w:szCs w:val="24"/>
          <w:lang w:val="en-US" w:eastAsia="zh-CN"/>
        </w:rPr>
        <w:t>9</w:t>
      </w:r>
      <w:r>
        <w:rPr>
          <w:rFonts w:hint="eastAsia" w:ascii="宋体" w:hAnsi="宋体" w:eastAsia="宋体" w:cs="宋体"/>
          <w:b/>
          <w:bCs w:val="0"/>
          <w:color w:val="auto"/>
          <w:sz w:val="24"/>
          <w:szCs w:val="24"/>
        </w:rPr>
        <w:t>、技术培训</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应结合自检、最终验收阶段，免费为采购人的相关人员进行有关货物安装、调试、维护、操作、保养等方面的现场培训。</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委派的专业技术人员所需费用均由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承担。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cs="宋体"/>
          <w:b/>
          <w:bCs w:val="0"/>
          <w:color w:val="auto"/>
          <w:sz w:val="24"/>
          <w:szCs w:val="24"/>
          <w:lang w:val="en-US" w:eastAsia="zh-CN"/>
        </w:rPr>
        <w:t>10</w:t>
      </w:r>
      <w:r>
        <w:rPr>
          <w:rFonts w:hint="eastAsia" w:ascii="宋体" w:hAnsi="宋体" w:eastAsia="宋体" w:cs="宋体"/>
          <w:b/>
          <w:bCs w:val="0"/>
          <w:color w:val="auto"/>
          <w:sz w:val="24"/>
          <w:szCs w:val="24"/>
        </w:rPr>
        <w:t>、</w:t>
      </w:r>
      <w:r>
        <w:rPr>
          <w:rFonts w:hint="eastAsia" w:ascii="宋体" w:hAnsi="宋体" w:eastAsia="宋体" w:cs="宋体"/>
          <w:b/>
          <w:bCs w:val="0"/>
          <w:color w:val="auto"/>
          <w:sz w:val="24"/>
          <w:szCs w:val="24"/>
          <w:lang w:eastAsia="zh-CN"/>
        </w:rPr>
        <w:t>维保</w:t>
      </w:r>
      <w:r>
        <w:rPr>
          <w:rFonts w:hint="eastAsia" w:ascii="宋体" w:hAnsi="宋体" w:eastAsia="宋体" w:cs="宋体"/>
          <w:b/>
          <w:bCs w:val="0"/>
          <w:color w:val="auto"/>
          <w:sz w:val="24"/>
          <w:szCs w:val="24"/>
        </w:rPr>
        <w:t>期和售后服务要求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0</w:t>
      </w:r>
      <w:r>
        <w:rPr>
          <w:rFonts w:hint="eastAsia" w:ascii="宋体" w:hAnsi="宋体" w:eastAsia="宋体" w:cs="宋体"/>
          <w:bCs/>
          <w:color w:val="auto"/>
          <w:sz w:val="24"/>
          <w:szCs w:val="24"/>
        </w:rPr>
        <w:t>.1</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自验收合格投入使用之日起应提供对整机</w:t>
      </w:r>
      <w:r>
        <w:rPr>
          <w:rFonts w:hint="eastAsia" w:ascii="宋体" w:hAnsi="宋体" w:eastAsia="宋体" w:cs="宋体"/>
          <w:bCs/>
          <w:color w:val="auto"/>
          <w:sz w:val="24"/>
          <w:szCs w:val="24"/>
          <w:lang w:eastAsia="zh-CN"/>
        </w:rPr>
        <w:t>至少贰年的维保期，维保期内提供</w:t>
      </w:r>
      <w:r>
        <w:rPr>
          <w:rFonts w:hint="eastAsia" w:ascii="宋体" w:hAnsi="宋体" w:eastAsia="宋体" w:cs="宋体"/>
          <w:bCs/>
          <w:color w:val="auto"/>
          <w:sz w:val="24"/>
          <w:szCs w:val="24"/>
        </w:rPr>
        <w:t>免费上门</w:t>
      </w:r>
      <w:r>
        <w:rPr>
          <w:rFonts w:hint="eastAsia" w:ascii="宋体" w:hAnsi="宋体" w:eastAsia="宋体" w:cs="宋体"/>
          <w:bCs/>
          <w:color w:val="auto"/>
          <w:sz w:val="24"/>
          <w:szCs w:val="24"/>
          <w:lang w:eastAsia="zh-CN"/>
        </w:rPr>
        <w:t>维保</w:t>
      </w:r>
      <w:r>
        <w:rPr>
          <w:rFonts w:hint="eastAsia" w:ascii="宋体" w:hAnsi="宋体" w:eastAsia="宋体" w:cs="宋体"/>
          <w:bCs/>
          <w:color w:val="auto"/>
          <w:sz w:val="24"/>
          <w:szCs w:val="24"/>
        </w:rPr>
        <w:t>服务</w:t>
      </w:r>
      <w:r>
        <w:rPr>
          <w:rFonts w:hint="eastAsia" w:ascii="宋体" w:hAnsi="宋体" w:cs="宋体"/>
          <w:bCs/>
          <w:color w:val="auto"/>
          <w:sz w:val="24"/>
          <w:szCs w:val="24"/>
          <w:lang w:eastAsia="zh-CN"/>
        </w:rPr>
        <w:t>，</w:t>
      </w:r>
      <w:r>
        <w:rPr>
          <w:rFonts w:hint="eastAsia" w:ascii="宋体" w:hAnsi="宋体" w:eastAsia="宋体" w:cs="宋体"/>
          <w:bCs/>
          <w:color w:val="auto"/>
          <w:sz w:val="24"/>
          <w:szCs w:val="24"/>
        </w:rPr>
        <w:t>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负责包修、包换。每年</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须免费对所有货物进行一次巡查，为采购人提供必要的服务；所有货物在</w:t>
      </w:r>
      <w:r>
        <w:rPr>
          <w:rFonts w:hint="eastAsia" w:ascii="宋体" w:hAnsi="宋体" w:eastAsia="宋体" w:cs="宋体"/>
          <w:bCs/>
          <w:color w:val="auto"/>
          <w:sz w:val="24"/>
          <w:szCs w:val="24"/>
          <w:lang w:eastAsia="zh-CN"/>
        </w:rPr>
        <w:t>维保</w:t>
      </w:r>
      <w:r>
        <w:rPr>
          <w:rFonts w:hint="eastAsia" w:ascii="宋体" w:hAnsi="宋体" w:eastAsia="宋体" w:cs="宋体"/>
          <w:bCs/>
          <w:color w:val="auto"/>
          <w:sz w:val="24"/>
          <w:szCs w:val="24"/>
        </w:rPr>
        <w:t>期结束前1个月，</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须免费进行一次全面的维护与保养，如发现潜在问题，应负责排除，并保证货物正常使用。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0</w:t>
      </w:r>
      <w:r>
        <w:rPr>
          <w:rFonts w:hint="eastAsia" w:ascii="宋体" w:hAnsi="宋体" w:eastAsia="宋体" w:cs="宋体"/>
          <w:bCs/>
          <w:color w:val="auto"/>
          <w:sz w:val="24"/>
          <w:szCs w:val="24"/>
        </w:rPr>
        <w:t>.2在</w:t>
      </w:r>
      <w:r>
        <w:rPr>
          <w:rFonts w:hint="eastAsia" w:ascii="宋体" w:hAnsi="宋体" w:eastAsia="宋体" w:cs="宋体"/>
          <w:bCs/>
          <w:color w:val="auto"/>
          <w:sz w:val="24"/>
          <w:szCs w:val="24"/>
          <w:lang w:eastAsia="zh-CN"/>
        </w:rPr>
        <w:t>维保</w:t>
      </w:r>
      <w:r>
        <w:rPr>
          <w:rFonts w:hint="eastAsia" w:ascii="宋体" w:hAnsi="宋体" w:eastAsia="宋体" w:cs="宋体"/>
          <w:bCs/>
          <w:color w:val="auto"/>
          <w:sz w:val="24"/>
          <w:szCs w:val="24"/>
        </w:rPr>
        <w:t>期内货物运行发生故障时</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在接到采购人报告故障电话通知后2小时内电话响应，8小时内到达用户现场解决问题，24小时内无法排除故障的，应提供则相应的备用设备以保证采购人的正常使用。故障维修响应时间内未到过现场进行维修者，采购人可自行委托相关企业进行维修，所需费用从合同余款中扣除。</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0</w:t>
      </w:r>
      <w:r>
        <w:rPr>
          <w:rFonts w:hint="eastAsia" w:ascii="宋体" w:hAnsi="宋体" w:eastAsia="宋体" w:cs="宋体"/>
          <w:bCs/>
          <w:color w:val="auto"/>
          <w:sz w:val="24"/>
          <w:szCs w:val="24"/>
        </w:rPr>
        <w:t>.</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所有货物</w:t>
      </w:r>
      <w:r>
        <w:rPr>
          <w:rFonts w:hint="eastAsia" w:ascii="宋体" w:hAnsi="宋体" w:eastAsia="宋体" w:cs="宋体"/>
          <w:bCs/>
          <w:color w:val="auto"/>
          <w:sz w:val="24"/>
          <w:szCs w:val="24"/>
          <w:lang w:eastAsia="zh-CN"/>
        </w:rPr>
        <w:t>维保</w:t>
      </w:r>
      <w:r>
        <w:rPr>
          <w:rFonts w:hint="eastAsia" w:ascii="宋体" w:hAnsi="宋体" w:eastAsia="宋体" w:cs="宋体"/>
          <w:bCs/>
          <w:color w:val="auto"/>
          <w:sz w:val="24"/>
          <w:szCs w:val="24"/>
        </w:rPr>
        <w:t>服务均为</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上门</w:t>
      </w:r>
      <w:r>
        <w:rPr>
          <w:rFonts w:hint="eastAsia" w:ascii="宋体" w:hAnsi="宋体" w:eastAsia="宋体" w:cs="宋体"/>
          <w:bCs/>
          <w:color w:val="auto"/>
          <w:sz w:val="24"/>
          <w:szCs w:val="24"/>
          <w:lang w:eastAsia="zh-CN"/>
        </w:rPr>
        <w:t>维保</w:t>
      </w:r>
      <w:r>
        <w:rPr>
          <w:rFonts w:hint="eastAsia" w:ascii="宋体" w:hAnsi="宋体" w:eastAsia="宋体" w:cs="宋体"/>
          <w:bCs/>
          <w:color w:val="auto"/>
          <w:sz w:val="24"/>
          <w:szCs w:val="24"/>
        </w:rPr>
        <w:t>，由此产生的一切费用均由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承担。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1</w:t>
      </w:r>
      <w:r>
        <w:rPr>
          <w:rFonts w:hint="eastAsia" w:ascii="宋体" w:hAnsi="宋体" w:eastAsia="宋体" w:cs="宋体"/>
          <w:b/>
          <w:bCs w:val="0"/>
          <w:color w:val="auto"/>
          <w:sz w:val="24"/>
          <w:szCs w:val="24"/>
        </w:rPr>
        <w:t>、验收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1</w:t>
      </w:r>
      <w:r>
        <w:rPr>
          <w:rFonts w:hint="eastAsia" w:ascii="宋体" w:hAnsi="宋体" w:eastAsia="宋体" w:cs="宋体"/>
          <w:bCs/>
          <w:color w:val="auto"/>
          <w:sz w:val="24"/>
          <w:szCs w:val="24"/>
        </w:rPr>
        <w:t>.1验收标准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所有货物按厂家产品验收标准(符合国家或行业或地方标准)、招标文件、投标文件等有关部分内容进行验收。产品质量达到设计要求，安装调试各项指标符合技术参数要求且须通过质检、计量部门的检验。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1</w:t>
      </w:r>
      <w:r>
        <w:rPr>
          <w:rFonts w:hint="eastAsia" w:ascii="宋体" w:hAnsi="宋体" w:eastAsia="宋体" w:cs="宋体"/>
          <w:bCs/>
          <w:color w:val="auto"/>
          <w:sz w:val="24"/>
          <w:szCs w:val="24"/>
        </w:rPr>
        <w:t>.2验收程序和方法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a.出厂检验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在货物出厂前，应对货物进行全面检验，并随同货物出具检验报告和产品合格证等。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b.</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自检</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货物在安装地安装完毕后，</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对所有货物的外观、各项性能参数进行自检，检验结果必须符合验收标准以及合同中相关条款要求，同时向采购人提供自检记录。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c.最终验收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经自检、抽检合格后，由采购人进行验收，若验收合格，由专家在验收报告上签字确认，若验收不合格，</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须进行整改，直至验收通过。</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验收期间，采购人有权选择具有相关检测资格的第三方检测机构对货物进行检测，或者要求</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提供相关网站或者第三方机构出具的检测报告，对投标文件响应的或者投标产品体现的有关技术参数进行验证，无法提供的按有关法律法规处理。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在采购人安装现场进行最终验收所发生的检测费等一切费用均由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承担。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2</w:t>
      </w:r>
      <w:r>
        <w:rPr>
          <w:rFonts w:hint="eastAsia" w:ascii="宋体" w:hAnsi="宋体" w:eastAsia="宋体" w:cs="宋体"/>
          <w:b/>
          <w:bCs w:val="0"/>
          <w:color w:val="auto"/>
          <w:sz w:val="24"/>
          <w:szCs w:val="24"/>
        </w:rPr>
        <w:t>、特殊工具与备品备件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2</w:t>
      </w:r>
      <w:r>
        <w:rPr>
          <w:rFonts w:hint="eastAsia" w:ascii="宋体" w:hAnsi="宋体" w:eastAsia="宋体" w:cs="宋体"/>
          <w:bCs/>
          <w:color w:val="auto"/>
          <w:sz w:val="24"/>
          <w:szCs w:val="24"/>
        </w:rPr>
        <w:t>.1特殊工具：</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应向采购人提供货物安装、调试和维修所需的特殊专用工具及清单(如果有的话)，投标人应在投标文件中标明(如果有的话)。</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2</w:t>
      </w:r>
      <w:r>
        <w:rPr>
          <w:rFonts w:hint="eastAsia" w:ascii="宋体" w:hAnsi="宋体" w:eastAsia="宋体" w:cs="宋体"/>
          <w:bCs/>
          <w:color w:val="auto"/>
          <w:sz w:val="24"/>
          <w:szCs w:val="24"/>
        </w:rPr>
        <w:t>.2备品备件：投标人应在投标文件中标明货物备品备件清单；</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应在设备运送到采购人时，配齐在保修期内所需的备品备件。</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3</w:t>
      </w:r>
      <w:r>
        <w:rPr>
          <w:rFonts w:hint="eastAsia" w:ascii="宋体" w:hAnsi="宋体" w:eastAsia="宋体" w:cs="宋体"/>
          <w:b/>
          <w:bCs w:val="0"/>
          <w:color w:val="auto"/>
          <w:sz w:val="24"/>
          <w:szCs w:val="24"/>
        </w:rPr>
        <w:t>、违约责任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.1因</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原因造成采购供货合同无法按时签订，视为</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违约，采购人有权没收其履约保证金，如履约保证金不能弥补</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违约对采购人造成的损失的，</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还需另行支付相应的赔偿。</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.2签订合同后因</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任何违约行为导致合同无法正常继续履行或提前终止，采购人有权没收履约保证金。</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.3本项目不允许</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以任何名义和理由进行转包，如有发现，采购人有权终止合同并没收履约保证金，对采购人造成的损失的，需另行支付相应的赔偿。</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.4</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未在合同规定期限内完成施工并将设备交付采购人使用的，每逾期1日须向采购人支付违约金3000元，不足1日的按1日计算；超过7日（含7日）不能完成的，视为</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不能供货，采购人有权没收履约保证金并另行采购，由此产生的差价由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承担。因疫情、国家政策、不可抗力因素造成的逾期或</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申请延期并获得采购人批准的除外。</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.5</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必须遵守国家法律及采购人单位保密、安全的相关规章制度，与采购人签订外协人员管理协议承诺书，投标方进入采购人所在监区的车辆、人员必须遵守采购人有关规定，必须无条件接受采购人检查，不得私自离开指定的区域；不得私自会见罪犯，不得携带手机等通讯工具（因施工需要且取得采购人许可除外），不得为罪犯传递信件、手机、毒品、酒类、黄色书刊及图片、刀具、绳索、打火机、有价证券、信用卡、数码产品等一切物品，不得接近无关人员，不得与无关人员聊天，不得四处走动，不得为无关人员捎带、传递任何物品等。违反上述相关规定，视情况予以罚款5000-50000元。若造成严重后果，采购人有权终止合同，并没收履约保证金，若触犯法律移送司法机关处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.6因</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原因发生重大质量事故，除依约承担赔偿责任外，还将按有关质量管理办法规定执行。同时，采购人有权解除合同，履约保证金不予退还，给采购人造成损失的还应当承担赔偿责任，并报相关行政主管部门处罚。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.7</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在安装或其他作业时发生安全事故的，</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除承担相应的法律责任外，造成采购方经济损失的，应给予相应的赔偿。同时采购方有权单方面解除合同并没收</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的履约保证金。未造成安全事故的，</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应在采购方的限期内进行整改，对造成采购方的损失进行赔偿。</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8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解除合同履约保证金不予退还，给采购人造成的损失，还应承担赔偿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.9在明确违约责任后，</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应在接到书面通知起7日内将违约金、赔偿金等转入采购人指定账户，采购人也有权从尚未支付的货款或履约保证金中扣除。</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.10</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提供的货物质量不符合合同(或</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投标/响应文件) 约定的，</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应无条件予以配合免费退货换货，因退换货不及时影响采购人工作的，发现一次，</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应向采购人支付 5000 元违约金，因产品质量问题造成甲方或任何第三方损害的，</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应承担一切损害赔偿、法律责任，采购人有权单方解除合同，不予退还</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的履约保证金。违约金可直接从应付货款或质保金中扣除，不足部分</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还须向甲方缴纳；违约金不足以弥补给甲方造成的损失的，</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还应承担相应的赔偿责任。</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4</w:t>
      </w:r>
      <w:r>
        <w:rPr>
          <w:rFonts w:hint="eastAsia" w:ascii="宋体" w:hAnsi="宋体" w:eastAsia="宋体" w:cs="宋体"/>
          <w:b/>
          <w:bCs w:val="0"/>
          <w:color w:val="auto"/>
          <w:sz w:val="24"/>
          <w:szCs w:val="24"/>
        </w:rPr>
        <w:t>、安全责任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4</w:t>
      </w:r>
      <w:r>
        <w:rPr>
          <w:rFonts w:hint="eastAsia" w:ascii="宋体" w:hAnsi="宋体" w:eastAsia="宋体" w:cs="宋体"/>
          <w:bCs/>
          <w:color w:val="auto"/>
          <w:sz w:val="24"/>
          <w:szCs w:val="24"/>
        </w:rPr>
        <w:t>.1中标方须签订安全协议书，上岗操作人员必须依照有关规定持证上岗，严禁无证人员操作。</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4</w:t>
      </w:r>
      <w:r>
        <w:rPr>
          <w:rFonts w:hint="eastAsia" w:ascii="宋体" w:hAnsi="宋体" w:eastAsia="宋体" w:cs="宋体"/>
          <w:bCs/>
          <w:color w:val="auto"/>
          <w:sz w:val="24"/>
          <w:szCs w:val="24"/>
        </w:rPr>
        <w:t>.2施工现场临时用电线路、用电设施的安装和使用必须符合相关电气安装规范，并按照临时用电施工组织设计进行架设，严禁随意拉线接电。</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4</w:t>
      </w:r>
      <w:r>
        <w:rPr>
          <w:rFonts w:hint="eastAsia" w:ascii="宋体" w:hAnsi="宋体" w:eastAsia="宋体" w:cs="宋体"/>
          <w:bCs/>
          <w:color w:val="auto"/>
          <w:sz w:val="24"/>
          <w:szCs w:val="24"/>
        </w:rPr>
        <w:t>.3施工现场应采取专项防护措施，以保证施工现场及其相邻区域人员和设施的安全。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4</w:t>
      </w:r>
      <w:r>
        <w:rPr>
          <w:rFonts w:hint="eastAsia" w:ascii="宋体" w:hAnsi="宋体" w:eastAsia="宋体" w:cs="宋体"/>
          <w:bCs/>
          <w:color w:val="auto"/>
          <w:sz w:val="24"/>
          <w:szCs w:val="24"/>
        </w:rPr>
        <w:t>.4</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自行负责在施工现场中所发生的人员伤亡和财产损失；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应为施工人员投相关人身健康或者工伤保险，以保障施工人员人身安全。</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5</w:t>
      </w:r>
      <w:r>
        <w:rPr>
          <w:rFonts w:hint="eastAsia" w:ascii="宋体" w:hAnsi="宋体" w:eastAsia="宋体" w:cs="宋体"/>
          <w:b/>
          <w:bCs w:val="0"/>
          <w:color w:val="auto"/>
          <w:sz w:val="24"/>
          <w:szCs w:val="24"/>
        </w:rPr>
        <w:t>、保密条款</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5</w:t>
      </w:r>
      <w:r>
        <w:rPr>
          <w:rFonts w:hint="eastAsia" w:ascii="宋体" w:hAnsi="宋体" w:eastAsia="宋体" w:cs="宋体"/>
          <w:bCs/>
          <w:color w:val="auto"/>
          <w:sz w:val="24"/>
          <w:szCs w:val="24"/>
        </w:rPr>
        <w:t>.1</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应当对本项目的内容、因履行本项目合同期间知悉的或收到的采购的财务、技术、产品信息、民警资料或其他工作上的文件资料、工作内容等予以保密，不得向</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以外的任何第三方披露，签订并严格执行《单位保密承诺书》；</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进入采购人工作区域的工作人员需签订《个人保密承诺书》，严格履行保密义务。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5</w:t>
      </w:r>
      <w:r>
        <w:rPr>
          <w:rFonts w:hint="eastAsia" w:ascii="宋体" w:hAnsi="宋体" w:eastAsia="宋体" w:cs="宋体"/>
          <w:bCs/>
          <w:color w:val="auto"/>
          <w:sz w:val="24"/>
          <w:szCs w:val="24"/>
        </w:rPr>
        <w:t>.2</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违反本条约定泄露采购人的涉密信息的，应承担相应的法律责任，造成采购人损失的，</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应当依法承担赔偿责任。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5</w:t>
      </w:r>
      <w:r>
        <w:rPr>
          <w:rFonts w:hint="eastAsia" w:ascii="宋体" w:hAnsi="宋体" w:eastAsia="宋体" w:cs="宋体"/>
          <w:bCs/>
          <w:color w:val="auto"/>
          <w:sz w:val="24"/>
          <w:szCs w:val="24"/>
        </w:rPr>
        <w:t>.3本条款不因合同届满或解除而失效。</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6</w:t>
      </w:r>
      <w:r>
        <w:rPr>
          <w:rFonts w:hint="eastAsia" w:ascii="宋体" w:hAnsi="宋体" w:eastAsia="宋体" w:cs="宋体"/>
          <w:b/>
          <w:bCs w:val="0"/>
          <w:color w:val="auto"/>
          <w:sz w:val="24"/>
          <w:szCs w:val="24"/>
        </w:rPr>
        <w:t>、廉政条款</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6</w:t>
      </w:r>
      <w:r>
        <w:rPr>
          <w:rFonts w:hint="eastAsia" w:ascii="宋体" w:hAnsi="宋体" w:eastAsia="宋体" w:cs="宋体"/>
          <w:bCs/>
          <w:color w:val="auto"/>
          <w:sz w:val="24"/>
          <w:szCs w:val="24"/>
        </w:rPr>
        <w:t>.1</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及其工作人员不得有以任何形式行贿采购人工作人员的行为，若发现并被核查属实的，采购人有权解除合同，情况严重的，</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及其工作人员还要承担相应的法律责任；采购人及其工作人员不得索要或接受</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的礼金及吃请等，如有违反廉政纪律等行为的，依据有关规定给予党纪、政纪或组织处理，情节严重的，还应承担相应的法律责任。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color w:val="auto"/>
          <w:sz w:val="24"/>
          <w:szCs w:val="24"/>
          <w:highlight w:val="none"/>
        </w:rPr>
      </w:pPr>
      <w:r>
        <w:rPr>
          <w:rFonts w:hint="eastAsia" w:ascii="宋体" w:hAnsi="宋体" w:eastAsia="宋体" w:cs="宋体"/>
          <w:b/>
          <w:bCs/>
          <w:color w:val="auto"/>
          <w:szCs w:val="24"/>
          <w:lang w:val="en-US" w:eastAsia="zh-CN"/>
        </w:rPr>
        <w:t>1</w:t>
      </w:r>
      <w:r>
        <w:rPr>
          <w:rFonts w:hint="eastAsia" w:cs="宋体"/>
          <w:b/>
          <w:bCs/>
          <w:color w:val="auto"/>
          <w:szCs w:val="24"/>
          <w:lang w:val="en-US" w:eastAsia="zh-CN"/>
        </w:rPr>
        <w:t>7</w:t>
      </w:r>
      <w:r>
        <w:rPr>
          <w:rStyle w:val="23"/>
          <w:rFonts w:hint="eastAsia" w:ascii="宋体" w:hAnsi="宋体" w:eastAsia="宋体" w:cs="宋体"/>
          <w:color w:val="auto"/>
          <w:sz w:val="24"/>
          <w:szCs w:val="24"/>
          <w:highlight w:val="none"/>
        </w:rPr>
        <w:t>.诉讼相关费用承担</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若因成交供应商未履行合同项下义务导致采购人所产生的一切损失（包括但不限于人身财产的损失、律师费、诉讼费、保全费、鉴定费等），均由成交供应商承担赔偿责任。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1</w:t>
      </w:r>
      <w:r>
        <w:rPr>
          <w:rFonts w:hint="eastAsia" w:cs="宋体"/>
          <w:b/>
          <w:bCs/>
          <w:color w:val="auto"/>
          <w:sz w:val="24"/>
          <w:szCs w:val="24"/>
          <w:highlight w:val="none"/>
          <w:lang w:val="en-US" w:eastAsia="zh-CN"/>
        </w:rPr>
        <w:t>8</w:t>
      </w: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lang w:val="zh-TW"/>
        </w:rPr>
        <w:t>不可抗力</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color w:val="auto"/>
          <w:sz w:val="24"/>
          <w:szCs w:val="24"/>
          <w:highlight w:val="none"/>
          <w:lang w:val="zh-TW"/>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Style w:val="23"/>
          <w:rFonts w:hint="eastAsia" w:ascii="宋体" w:hAnsi="宋体" w:eastAsia="宋体" w:cs="宋体"/>
          <w:color w:val="auto"/>
          <w:sz w:val="24"/>
          <w:szCs w:val="24"/>
          <w:highlight w:val="none"/>
        </w:rPr>
      </w:pPr>
      <w:r>
        <w:rPr>
          <w:rStyle w:val="23"/>
          <w:rFonts w:hint="eastAsia" w:cs="宋体"/>
          <w:color w:val="auto"/>
          <w:sz w:val="24"/>
          <w:szCs w:val="24"/>
          <w:highlight w:val="none"/>
          <w:lang w:val="en-US" w:eastAsia="zh-CN"/>
        </w:rPr>
        <w:t>19</w:t>
      </w:r>
      <w:r>
        <w:rPr>
          <w:rStyle w:val="23"/>
          <w:rFonts w:hint="eastAsia" w:ascii="宋体" w:hAnsi="宋体" w:eastAsia="宋体" w:cs="宋体"/>
          <w:color w:val="auto"/>
          <w:sz w:val="24"/>
          <w:szCs w:val="24"/>
          <w:highlight w:val="none"/>
        </w:rPr>
        <w:t>.专利权及知识产权</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color w:val="auto"/>
          <w:sz w:val="24"/>
          <w:szCs w:val="24"/>
          <w:highlight w:val="none"/>
          <w:lang w:val="zh-TW"/>
        </w:rPr>
      </w:pPr>
      <w:r>
        <w:rPr>
          <w:rFonts w:hint="eastAsia" w:ascii="宋体" w:hAnsi="宋体" w:eastAsia="宋体" w:cs="宋体"/>
          <w:color w:val="auto"/>
          <w:sz w:val="24"/>
          <w:szCs w:val="24"/>
          <w:highlight w:val="none"/>
          <w:lang w:val="zh-TW"/>
        </w:rPr>
        <w:t>成交供应商须保障采购人在使用该货物或其任何一部分时不受到第三方关于侵犯专利权、商标权或工业设计权等知识产权的指控。如果任何第三方提出侵权指控与采购人无关，</w:t>
      </w:r>
      <w:r>
        <w:rPr>
          <w:rFonts w:hint="eastAsia" w:ascii="宋体" w:hAnsi="宋体" w:eastAsia="宋体" w:cs="宋体"/>
          <w:color w:val="auto"/>
          <w:sz w:val="24"/>
          <w:szCs w:val="24"/>
          <w:highlight w:val="none"/>
        </w:rPr>
        <w:t>成交供应商</w:t>
      </w:r>
      <w:r>
        <w:rPr>
          <w:rFonts w:hint="eastAsia" w:ascii="宋体" w:hAnsi="宋体" w:eastAsia="宋体" w:cs="宋体"/>
          <w:color w:val="auto"/>
          <w:sz w:val="24"/>
          <w:szCs w:val="24"/>
          <w:highlight w:val="none"/>
          <w:lang w:val="zh-TW"/>
        </w:rPr>
        <w:t>须与第三方交涉并承担可能发生的责任与一切费用。如采购人因此而遭致损失的，</w:t>
      </w:r>
      <w:r>
        <w:rPr>
          <w:rFonts w:hint="eastAsia" w:ascii="宋体" w:hAnsi="宋体" w:eastAsia="宋体" w:cs="宋体"/>
          <w:color w:val="auto"/>
          <w:sz w:val="24"/>
          <w:szCs w:val="24"/>
          <w:highlight w:val="none"/>
        </w:rPr>
        <w:t>成交供应商</w:t>
      </w:r>
      <w:r>
        <w:rPr>
          <w:rFonts w:hint="eastAsia" w:ascii="宋体" w:hAnsi="宋体" w:eastAsia="宋体" w:cs="宋体"/>
          <w:color w:val="auto"/>
          <w:sz w:val="24"/>
          <w:szCs w:val="24"/>
          <w:highlight w:val="none"/>
          <w:lang w:val="zh-TW"/>
        </w:rPr>
        <w:t>应赔偿该损失。</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2</w:t>
      </w:r>
      <w:r>
        <w:rPr>
          <w:rFonts w:hint="eastAsia" w:cs="宋体"/>
          <w:b/>
          <w:bCs/>
          <w:color w:val="auto"/>
          <w:sz w:val="24"/>
          <w:szCs w:val="24"/>
          <w:highlight w:val="none"/>
          <w:lang w:val="en-US" w:eastAsia="zh-CN"/>
        </w:rPr>
        <w:t>0</w:t>
      </w:r>
      <w:r>
        <w:rPr>
          <w:rFonts w:hint="eastAsia" w:ascii="宋体" w:hAnsi="宋体" w:eastAsia="宋体" w:cs="宋体"/>
          <w:b/>
          <w:bCs/>
          <w:color w:val="auto"/>
          <w:sz w:val="24"/>
          <w:szCs w:val="24"/>
          <w:highlight w:val="none"/>
          <w:lang w:val="en-US" w:eastAsia="zh-CN"/>
        </w:rPr>
        <w:t>.</w:t>
      </w:r>
      <w:r>
        <w:rPr>
          <w:rFonts w:hint="eastAsia" w:ascii="宋体" w:hAnsi="宋体" w:eastAsia="宋体" w:cs="宋体"/>
          <w:b/>
          <w:bCs/>
          <w:color w:val="auto"/>
          <w:sz w:val="24"/>
          <w:szCs w:val="24"/>
          <w:highlight w:val="none"/>
          <w:lang w:val="zh-TW"/>
        </w:rPr>
        <w:t>合同纠纷处理方式</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color w:val="auto"/>
          <w:sz w:val="24"/>
          <w:szCs w:val="24"/>
          <w:highlight w:val="none"/>
          <w:lang w:val="zh-TW"/>
        </w:rPr>
      </w:pPr>
      <w:r>
        <w:rPr>
          <w:rFonts w:hint="eastAsia" w:ascii="宋体" w:hAnsi="宋体" w:eastAsia="宋体" w:cs="宋体"/>
          <w:color w:val="auto"/>
          <w:sz w:val="24"/>
          <w:szCs w:val="24"/>
          <w:highlight w:val="none"/>
        </w:rPr>
        <w:t>（1）采购人及成交供应商</w:t>
      </w:r>
      <w:r>
        <w:rPr>
          <w:rFonts w:hint="eastAsia" w:ascii="宋体" w:hAnsi="宋体" w:eastAsia="宋体" w:cs="宋体"/>
          <w:color w:val="auto"/>
          <w:sz w:val="24"/>
          <w:szCs w:val="24"/>
          <w:highlight w:val="none"/>
          <w:lang w:val="zh-TW"/>
        </w:rPr>
        <w:t>双方必须认真履行合同条款。因本合同或与本合同有关的一切事项发生争议，由双方友好协商解决，协商不成的，任何一方均可向采购人所在地人民法院提起诉讼。</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1"/>
        <w:rPr>
          <w:rFonts w:hint="eastAsia" w:ascii="宋体" w:hAnsi="宋体" w:eastAsia="宋体" w:cs="宋体"/>
          <w:color w:val="auto"/>
          <w:sz w:val="24"/>
          <w:szCs w:val="24"/>
          <w:highlight w:val="none"/>
          <w:lang w:val="zh-TW"/>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zh-TW"/>
        </w:rPr>
        <w:t>合同补充和修改：本合同生效后，双方对合同内容的变更或补充应采取书面形式，并经双方签字并盖章确认。</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1"/>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四、其他事项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1、除</w:t>
      </w:r>
      <w:r>
        <w:rPr>
          <w:rFonts w:hint="eastAsia" w:ascii="宋体" w:hAnsi="宋体" w:eastAsia="宋体" w:cs="宋体"/>
          <w:bCs/>
          <w:color w:val="auto"/>
          <w:sz w:val="24"/>
          <w:szCs w:val="24"/>
          <w:lang w:eastAsia="zh-CN"/>
        </w:rPr>
        <w:t>竞价文件</w:t>
      </w:r>
      <w:r>
        <w:rPr>
          <w:rFonts w:hint="eastAsia" w:ascii="宋体" w:hAnsi="宋体" w:eastAsia="宋体" w:cs="宋体"/>
          <w:bCs/>
          <w:color w:val="auto"/>
          <w:sz w:val="24"/>
          <w:szCs w:val="24"/>
        </w:rPr>
        <w:t>另有规定外，若出现有关法律、法规和规章有强制性规定但</w:t>
      </w:r>
      <w:r>
        <w:rPr>
          <w:rFonts w:hint="eastAsia" w:ascii="宋体" w:hAnsi="宋体" w:eastAsia="宋体" w:cs="宋体"/>
          <w:bCs/>
          <w:color w:val="auto"/>
          <w:sz w:val="24"/>
          <w:szCs w:val="24"/>
          <w:lang w:eastAsia="zh-CN"/>
        </w:rPr>
        <w:t>竞价文件</w:t>
      </w:r>
      <w:r>
        <w:rPr>
          <w:rFonts w:hint="eastAsia" w:ascii="宋体" w:hAnsi="宋体" w:eastAsia="宋体" w:cs="宋体"/>
          <w:bCs/>
          <w:color w:val="auto"/>
          <w:sz w:val="24"/>
          <w:szCs w:val="24"/>
        </w:rPr>
        <w:t>未列明的情形，则</w:t>
      </w:r>
      <w:r>
        <w:rPr>
          <w:rFonts w:hint="eastAsia" w:ascii="宋体" w:hAnsi="宋体" w:eastAsia="宋体" w:cs="宋体"/>
          <w:bCs/>
          <w:color w:val="auto"/>
          <w:sz w:val="24"/>
          <w:szCs w:val="24"/>
          <w:lang w:eastAsia="zh-CN"/>
        </w:rPr>
        <w:t>供应商</w:t>
      </w:r>
      <w:r>
        <w:rPr>
          <w:rFonts w:hint="eastAsia" w:ascii="宋体" w:hAnsi="宋体" w:eastAsia="宋体" w:cs="宋体"/>
          <w:bCs/>
          <w:color w:val="auto"/>
          <w:sz w:val="24"/>
          <w:szCs w:val="24"/>
        </w:rPr>
        <w:t>应按照有关法律、法规和规章强制性规定执行。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2、其他：</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2.1本协议在履行过程中发生的未尽事宜另行协商解决，相关补充协议与其具有同等法律效力。</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2.2本次招标的货物，</w:t>
      </w:r>
      <w:r>
        <w:rPr>
          <w:rFonts w:hint="eastAsia" w:ascii="宋体" w:hAnsi="宋体" w:eastAsia="宋体" w:cs="宋体"/>
          <w:bCs/>
          <w:color w:val="auto"/>
          <w:sz w:val="24"/>
          <w:szCs w:val="24"/>
          <w:lang w:eastAsia="zh-CN"/>
        </w:rPr>
        <w:t>供应商</w:t>
      </w:r>
      <w:r>
        <w:rPr>
          <w:rFonts w:hint="eastAsia" w:ascii="宋体" w:hAnsi="宋体" w:eastAsia="宋体" w:cs="宋体"/>
          <w:bCs/>
          <w:color w:val="auto"/>
          <w:sz w:val="24"/>
          <w:szCs w:val="24"/>
        </w:rPr>
        <w:t>须保证提供的所有货物必须是未经拆封、原厂正规合格、品质优良的产品、技术资料齐全。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2.3</w:t>
      </w:r>
      <w:r>
        <w:rPr>
          <w:rFonts w:hint="eastAsia" w:ascii="宋体" w:hAnsi="宋体" w:eastAsia="宋体" w:cs="宋体"/>
          <w:bCs/>
          <w:color w:val="auto"/>
          <w:sz w:val="24"/>
          <w:szCs w:val="24"/>
          <w:lang w:eastAsia="zh-CN"/>
        </w:rPr>
        <w:t>供应商</w:t>
      </w:r>
      <w:r>
        <w:rPr>
          <w:rFonts w:hint="eastAsia" w:ascii="宋体" w:hAnsi="宋体" w:eastAsia="宋体" w:cs="宋体"/>
          <w:bCs/>
          <w:color w:val="auto"/>
          <w:sz w:val="24"/>
          <w:szCs w:val="24"/>
        </w:rPr>
        <w:t>必须保证采购人在使用其中标货物过程的任何时候不受到第三方提出侵犯其知识产权（专利权、商标权、工业设计权及使用权）的纠纷，否则，由此产生的任何责任完全由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2.4、本项目如遇采购人上级部门政策调整或认为本项目不宜继续开展，采购有权终止本项目进程（包括采购流程，签订合同等）,双方互不负任何违约责任。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2.5、</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负责整个场地的安全文明卫生管理，做到文明施工、保持施工场地清洁。在施工期间，承包人应随时保持现场整洁，施工装备和材料、设备应妥善存放和贮存，废料、垃圾和不再需要的临时设施应从现场清除、拆除并运走。在工程施工过程中，自行采取有效措施保障地下管线及周边建筑物、道路不开裂、不损坏，做好恢复原状等相关工作，否则造成的一切责任及费用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自行承担。</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color w:val="auto"/>
          <w:sz w:val="24"/>
          <w:szCs w:val="24"/>
          <w:highlight w:val="none"/>
          <w:u w:val="single"/>
        </w:rPr>
      </w:pPr>
    </w:p>
    <w:p>
      <w:pPr>
        <w:widowControl/>
        <w:spacing w:line="360" w:lineRule="auto"/>
        <w:jc w:val="center"/>
        <w:rPr>
          <w:rFonts w:ascii="宋体" w:hAnsi="宋体"/>
          <w:b/>
          <w:bCs/>
          <w:color w:val="auto"/>
          <w:sz w:val="36"/>
          <w:szCs w:val="36"/>
          <w:highlight w:val="none"/>
        </w:rPr>
      </w:pPr>
    </w:p>
    <w:p>
      <w:pPr>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pPr>
        <w:snapToGrid w:val="0"/>
        <w:spacing w:line="360" w:lineRule="auto"/>
        <w:jc w:val="center"/>
        <w:outlineLvl w:val="1"/>
        <w:rPr>
          <w:rFonts w:ascii="宋体" w:hAnsi="宋体" w:cs="宋体"/>
          <w:b/>
          <w:color w:val="auto"/>
          <w:sz w:val="24"/>
          <w:highlight w:val="none"/>
        </w:rPr>
      </w:pPr>
      <w:bookmarkStart w:id="7" w:name="_Toc30978"/>
      <w:r>
        <w:rPr>
          <w:rFonts w:hint="eastAsia" w:ascii="宋体" w:hAnsi="宋体" w:cs="宋体"/>
          <w:b/>
          <w:color w:val="auto"/>
          <w:sz w:val="24"/>
          <w:highlight w:val="none"/>
        </w:rPr>
        <w:t>（参考文本）</w:t>
      </w:r>
      <w:bookmarkEnd w:id="7"/>
    </w:p>
    <w:p>
      <w:pPr>
        <w:wordWrap w:val="0"/>
        <w:spacing w:line="360" w:lineRule="auto"/>
        <w:jc w:val="right"/>
        <w:rPr>
          <w:rFonts w:ascii="宋体" w:hAnsi="宋体" w:cs="宋体"/>
          <w:color w:val="auto"/>
          <w:sz w:val="24"/>
          <w:highlight w:val="none"/>
        </w:rPr>
      </w:pPr>
      <w:r>
        <w:rPr>
          <w:rFonts w:hint="eastAsia" w:ascii="宋体" w:hAnsi="宋体" w:cs="宋体"/>
          <w:color w:val="auto"/>
          <w:sz w:val="24"/>
          <w:highlight w:val="none"/>
        </w:rPr>
        <w:t>合同号：</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甲方(采购人)：                                签订地点：                   </w:t>
      </w:r>
    </w:p>
    <w:p>
      <w:pPr>
        <w:spacing w:line="360" w:lineRule="auto"/>
        <w:rPr>
          <w:rFonts w:ascii="宋体" w:hAnsi="宋体" w:cs="宋体"/>
          <w:color w:val="auto"/>
          <w:sz w:val="24"/>
          <w:highlight w:val="none"/>
        </w:rPr>
      </w:pPr>
      <w:r>
        <w:rPr>
          <w:rFonts w:hint="eastAsia" w:ascii="宋体" w:hAnsi="宋体" w:cs="宋体"/>
          <w:color w:val="auto"/>
          <w:sz w:val="24"/>
          <w:highlight w:val="none"/>
        </w:rPr>
        <w:t>乙方（成交供应商）：                          签订日期：      年   月   日</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根据甲方委托(</w:t>
      </w:r>
      <w:r>
        <w:rPr>
          <w:rFonts w:hint="eastAsia" w:ascii="宋体" w:hAnsi="宋体" w:cs="宋体"/>
          <w:color w:val="auto"/>
          <w:sz w:val="24"/>
          <w:highlight w:val="none"/>
          <w:u w:val="single"/>
        </w:rPr>
        <w:t>采购代理机构</w:t>
      </w:r>
      <w:r>
        <w:rPr>
          <w:rFonts w:hint="eastAsia" w:ascii="宋体" w:hAnsi="宋体" w:cs="宋体"/>
          <w:color w:val="auto"/>
          <w:sz w:val="24"/>
          <w:highlight w:val="none"/>
        </w:rPr>
        <w:t>)对进行网上竞价（项目编号：）的竞价结果，乙方为成交供应商，现依照网上竞价文件、成交供应商响应文件及相关文件的内容，双方达成如下协议：</w:t>
      </w:r>
    </w:p>
    <w:p>
      <w:pPr>
        <w:spacing w:line="360" w:lineRule="auto"/>
        <w:ind w:firstLine="482" w:firstLineChars="200"/>
        <w:rPr>
          <w:rFonts w:ascii="宋体" w:hAnsi="宋体" w:cs="宋体"/>
          <w:b/>
          <w:bCs/>
          <w:color w:val="auto"/>
          <w:sz w:val="24"/>
          <w:highlight w:val="none"/>
        </w:rPr>
      </w:pPr>
      <w:r>
        <w:rPr>
          <w:rFonts w:hint="eastAsia" w:ascii="宋体" w:hAnsi="宋体" w:cs="宋体"/>
          <w:b/>
          <w:bCs/>
          <w:color w:val="auto"/>
          <w:sz w:val="24"/>
          <w:highlight w:val="none"/>
          <w:lang w:val="en-US" w:eastAsia="zh-CN"/>
        </w:rPr>
        <w:t>(1)</w:t>
      </w:r>
      <w:r>
        <w:rPr>
          <w:rFonts w:hint="eastAsia" w:ascii="宋体" w:hAnsi="宋体" w:cs="宋体"/>
          <w:b/>
          <w:bCs/>
          <w:color w:val="auto"/>
          <w:sz w:val="24"/>
          <w:highlight w:val="none"/>
        </w:rPr>
        <w:t>合同标的和合同价格</w:t>
      </w:r>
    </w:p>
    <w:tbl>
      <w:tblPr>
        <w:tblStyle w:val="20"/>
        <w:tblW w:w="498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935"/>
        <w:gridCol w:w="2346"/>
        <w:gridCol w:w="1640"/>
        <w:gridCol w:w="1404"/>
        <w:gridCol w:w="1875"/>
        <w:gridCol w:w="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880"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color w:val="auto"/>
                <w:highlight w:val="none"/>
              </w:rPr>
            </w:pPr>
            <w:r>
              <w:rPr>
                <w:rFonts w:hint="eastAsia"/>
                <w:color w:val="auto"/>
                <w:highlight w:val="none"/>
              </w:rPr>
              <w:t>合同包</w:t>
            </w:r>
          </w:p>
        </w:tc>
        <w:tc>
          <w:tcPr>
            <w:tcW w:w="881"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color w:val="auto"/>
                <w:highlight w:val="none"/>
              </w:rPr>
            </w:pPr>
            <w:r>
              <w:rPr>
                <w:rFonts w:hint="eastAsia"/>
                <w:color w:val="auto"/>
                <w:highlight w:val="none"/>
              </w:rPr>
              <w:t>品目号</w:t>
            </w:r>
          </w:p>
        </w:tc>
        <w:tc>
          <w:tcPr>
            <w:tcW w:w="2211"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color w:val="auto"/>
                <w:highlight w:val="none"/>
              </w:rPr>
            </w:pPr>
            <w:r>
              <w:rPr>
                <w:rFonts w:hint="eastAsia"/>
                <w:color w:val="auto"/>
                <w:highlight w:val="none"/>
                <w:lang w:eastAsia="zh-CN"/>
              </w:rPr>
              <w:t>货物</w:t>
            </w:r>
            <w:r>
              <w:rPr>
                <w:rFonts w:hint="eastAsia"/>
                <w:color w:val="auto"/>
                <w:highlight w:val="none"/>
              </w:rPr>
              <w:t>名称</w:t>
            </w:r>
          </w:p>
        </w:tc>
        <w:tc>
          <w:tcPr>
            <w:tcW w:w="1546"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color w:val="auto"/>
                <w:highlight w:val="none"/>
              </w:rPr>
            </w:pPr>
            <w:r>
              <w:rPr>
                <w:rFonts w:hint="eastAsia"/>
                <w:color w:val="auto"/>
                <w:highlight w:val="none"/>
              </w:rPr>
              <w:t>数量（单位）</w:t>
            </w:r>
          </w:p>
        </w:tc>
        <w:tc>
          <w:tcPr>
            <w:tcW w:w="1324"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color w:val="auto"/>
                <w:highlight w:val="none"/>
              </w:rPr>
            </w:pPr>
            <w:r>
              <w:rPr>
                <w:rFonts w:hint="eastAsia"/>
                <w:color w:val="auto"/>
                <w:highlight w:val="none"/>
              </w:rPr>
              <w:t>单价（元）</w:t>
            </w:r>
          </w:p>
        </w:tc>
        <w:tc>
          <w:tcPr>
            <w:tcW w:w="1767"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color w:val="auto"/>
                <w:highlight w:val="none"/>
              </w:rPr>
            </w:pPr>
            <w:r>
              <w:rPr>
                <w:rFonts w:hint="eastAsia"/>
                <w:color w:val="auto"/>
                <w:highlight w:val="none"/>
              </w:rPr>
              <w:t>合同金额（元）</w:t>
            </w:r>
          </w:p>
        </w:tc>
        <w:tc>
          <w:tcPr>
            <w:tcW w:w="659"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color w:val="auto"/>
                <w:highlight w:val="none"/>
              </w:rPr>
            </w:pPr>
            <w:r>
              <w:rPr>
                <w:rFonts w:hint="eastAsia"/>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880"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color w:val="auto"/>
                <w:highlight w:val="none"/>
              </w:rPr>
            </w:pPr>
            <w:r>
              <w:rPr>
                <w:rFonts w:hint="eastAsia"/>
                <w:color w:val="auto"/>
                <w:highlight w:val="none"/>
              </w:rPr>
              <w:t>1</w:t>
            </w:r>
          </w:p>
        </w:tc>
        <w:tc>
          <w:tcPr>
            <w:tcW w:w="881" w:type="dxa"/>
            <w:vAlign w:val="center"/>
          </w:tcPr>
          <w:p>
            <w:pPr>
              <w:keepNext w:val="0"/>
              <w:keepLines w:val="0"/>
              <w:pageBreakBefore w:val="0"/>
              <w:kinsoku/>
              <w:overflowPunct/>
              <w:topLinePunct w:val="0"/>
              <w:autoSpaceDE/>
              <w:autoSpaceDN/>
              <w:bidi w:val="0"/>
              <w:adjustRightInd/>
              <w:snapToGrid/>
              <w:spacing w:line="400" w:lineRule="exact"/>
              <w:jc w:val="center"/>
              <w:rPr>
                <w:rFonts w:cs="宋体"/>
                <w:color w:val="auto"/>
                <w:highlight w:val="none"/>
              </w:rPr>
            </w:pPr>
          </w:p>
        </w:tc>
        <w:tc>
          <w:tcPr>
            <w:tcW w:w="2211" w:type="dxa"/>
            <w:vAlign w:val="center"/>
          </w:tcPr>
          <w:p>
            <w:pPr>
              <w:keepNext w:val="0"/>
              <w:keepLines w:val="0"/>
              <w:pageBreakBefore w:val="0"/>
              <w:widowControl/>
              <w:kinsoku/>
              <w:overflowPunct/>
              <w:topLinePunct w:val="0"/>
              <w:autoSpaceDE/>
              <w:autoSpaceDN/>
              <w:bidi w:val="0"/>
              <w:adjustRightInd/>
              <w:snapToGrid/>
              <w:spacing w:line="400" w:lineRule="exact"/>
              <w:jc w:val="center"/>
              <w:textAlignment w:val="center"/>
              <w:rPr>
                <w:rFonts w:cs="宋体"/>
                <w:color w:val="auto"/>
                <w:highlight w:val="none"/>
              </w:rPr>
            </w:pPr>
          </w:p>
        </w:tc>
        <w:tc>
          <w:tcPr>
            <w:tcW w:w="1546" w:type="dxa"/>
            <w:vAlign w:val="center"/>
          </w:tcPr>
          <w:p>
            <w:pPr>
              <w:keepNext w:val="0"/>
              <w:keepLines w:val="0"/>
              <w:pageBreakBefore w:val="0"/>
              <w:widowControl/>
              <w:kinsoku/>
              <w:overflowPunct/>
              <w:topLinePunct w:val="0"/>
              <w:autoSpaceDE/>
              <w:autoSpaceDN/>
              <w:bidi w:val="0"/>
              <w:adjustRightInd/>
              <w:snapToGrid/>
              <w:spacing w:line="400" w:lineRule="exact"/>
              <w:jc w:val="center"/>
              <w:textAlignment w:val="center"/>
              <w:rPr>
                <w:rFonts w:cs="宋体"/>
                <w:color w:val="auto"/>
                <w:highlight w:val="none"/>
              </w:rPr>
            </w:pPr>
          </w:p>
        </w:tc>
        <w:tc>
          <w:tcPr>
            <w:tcW w:w="1324"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color w:val="auto"/>
                <w:highlight w:val="none"/>
              </w:rPr>
            </w:pPr>
          </w:p>
        </w:tc>
        <w:tc>
          <w:tcPr>
            <w:tcW w:w="1767"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color w:val="auto"/>
                <w:highlight w:val="none"/>
              </w:rPr>
            </w:pPr>
          </w:p>
        </w:tc>
        <w:tc>
          <w:tcPr>
            <w:tcW w:w="659"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color w:val="auto"/>
                <w:highlight w:val="none"/>
              </w:rPr>
            </w:pPr>
          </w:p>
        </w:tc>
      </w:tr>
    </w:tbl>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1.交付地点：采购人指定地点。</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2.</w:t>
      </w:r>
      <w:r>
        <w:rPr>
          <w:rFonts w:hint="eastAsia" w:ascii="宋体" w:hAnsi="宋体" w:eastAsia="宋体" w:cs="宋体"/>
          <w:b/>
          <w:bCs/>
          <w:color w:val="auto"/>
          <w:kern w:val="0"/>
          <w:sz w:val="24"/>
          <w:szCs w:val="24"/>
          <w:highlight w:val="none"/>
          <w:lang w:eastAsia="zh-CN"/>
        </w:rPr>
        <w:t>交付时间</w:t>
      </w:r>
      <w:r>
        <w:rPr>
          <w:rFonts w:hint="eastAsia" w:ascii="宋体" w:hAnsi="宋体" w:eastAsia="宋体" w:cs="宋体"/>
          <w:b/>
          <w:bCs/>
          <w:color w:val="auto"/>
          <w:kern w:val="0"/>
          <w:sz w:val="24"/>
          <w:szCs w:val="24"/>
          <w:highlight w:val="none"/>
        </w:rPr>
        <w:t>：自合同签订之日起30个工作日内交付。</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3.交付条件：按竞价文件及合同规定执行。</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4.</w:t>
      </w:r>
      <w:r>
        <w:rPr>
          <w:rFonts w:hint="eastAsia" w:ascii="宋体" w:hAnsi="宋体" w:eastAsia="宋体" w:cs="宋体"/>
          <w:b/>
          <w:bCs/>
          <w:color w:val="auto"/>
          <w:sz w:val="24"/>
          <w:szCs w:val="24"/>
          <w:highlight w:val="none"/>
        </w:rPr>
        <w:t>履约保证金：</w:t>
      </w:r>
    </w:p>
    <w:p>
      <w:pPr>
        <w:keepNext w:val="0"/>
        <w:keepLines w:val="0"/>
        <w:pageBreakBefore w:val="0"/>
        <w:kinsoku/>
        <w:wordWrap/>
        <w:overflowPunct/>
        <w:topLinePunct w:val="0"/>
        <w:autoSpaceDE/>
        <w:autoSpaceDN/>
        <w:bidi w:val="0"/>
        <w:adjustRightInd/>
        <w:spacing w:line="400" w:lineRule="exact"/>
        <w:ind w:firstLine="482" w:firstLineChars="20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履约保证金百分比：</w:t>
      </w:r>
      <w:r>
        <w:rPr>
          <w:rFonts w:hint="eastAsia" w:ascii="宋体" w:hAnsi="宋体" w:eastAsia="宋体" w:cs="宋体"/>
          <w:b/>
          <w:bCs/>
          <w:color w:val="auto"/>
          <w:kern w:val="0"/>
          <w:sz w:val="24"/>
          <w:szCs w:val="24"/>
          <w:highlight w:val="none"/>
          <w:u w:val="single"/>
          <w:lang w:val="en-US" w:eastAsia="zh-CN"/>
        </w:rPr>
        <w:t>5</w:t>
      </w:r>
      <w:r>
        <w:rPr>
          <w:rFonts w:hint="eastAsia" w:ascii="宋体" w:hAnsi="宋体" w:cs="宋体"/>
          <w:b/>
          <w:bCs/>
          <w:color w:val="auto"/>
          <w:kern w:val="0"/>
          <w:sz w:val="24"/>
          <w:szCs w:val="24"/>
          <w:highlight w:val="none"/>
          <w:u w:val="single"/>
          <w:lang w:val="en-US" w:eastAsia="zh-CN"/>
        </w:rPr>
        <w:t xml:space="preserve"> </w:t>
      </w:r>
      <w:r>
        <w:rPr>
          <w:rFonts w:hint="eastAsia" w:ascii="宋体" w:hAnsi="宋体" w:eastAsia="宋体" w:cs="宋体"/>
          <w:b/>
          <w:bCs/>
          <w:color w:val="auto"/>
          <w:kern w:val="0"/>
          <w:sz w:val="24"/>
          <w:szCs w:val="24"/>
          <w:highlight w:val="none"/>
        </w:rPr>
        <w:t>%。说明：成交供应商在签订合同前，以转账方式向采购人缴纳合同总金额</w:t>
      </w:r>
      <w:r>
        <w:rPr>
          <w:rFonts w:hint="eastAsia" w:ascii="宋体" w:hAnsi="宋体" w:eastAsia="宋体" w:cs="宋体"/>
          <w:b/>
          <w:bCs/>
          <w:color w:val="auto"/>
          <w:kern w:val="0"/>
          <w:sz w:val="24"/>
          <w:szCs w:val="24"/>
          <w:highlight w:val="none"/>
          <w:u w:val="single"/>
          <w:lang w:val="en-US" w:eastAsia="zh-CN"/>
        </w:rPr>
        <w:t>5</w:t>
      </w:r>
      <w:r>
        <w:rPr>
          <w:rFonts w:hint="eastAsia" w:ascii="宋体" w:hAnsi="宋体" w:eastAsia="宋体" w:cs="宋体"/>
          <w:b/>
          <w:bCs/>
          <w:color w:val="auto"/>
          <w:kern w:val="0"/>
          <w:sz w:val="24"/>
          <w:szCs w:val="24"/>
          <w:highlight w:val="none"/>
        </w:rPr>
        <w:t>%履约保证金。履约保证金在</w:t>
      </w:r>
      <w:r>
        <w:rPr>
          <w:rFonts w:hint="eastAsia" w:ascii="宋体" w:hAnsi="宋体" w:cs="宋体"/>
          <w:b/>
          <w:bCs/>
          <w:color w:val="auto"/>
          <w:kern w:val="0"/>
          <w:sz w:val="24"/>
          <w:szCs w:val="24"/>
          <w:highlight w:val="none"/>
          <w:lang w:eastAsia="zh-CN"/>
        </w:rPr>
        <w:t>维保期满后</w:t>
      </w:r>
      <w:r>
        <w:rPr>
          <w:rFonts w:hint="eastAsia" w:ascii="宋体" w:hAnsi="宋体" w:eastAsia="宋体" w:cs="宋体"/>
          <w:b/>
          <w:bCs/>
          <w:color w:val="auto"/>
          <w:kern w:val="0"/>
          <w:sz w:val="24"/>
          <w:szCs w:val="24"/>
          <w:highlight w:val="none"/>
        </w:rPr>
        <w:t>且双方无未了事项的前提下，采购人在收到成交供应商提交书面申请等材料后30日内无息退还。</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5.验收方式：按照国家相关标准、行业标准及网上竞价文件及合同要求执行。</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6.支付方式：</w:t>
      </w:r>
      <w:r>
        <w:rPr>
          <w:rFonts w:hint="eastAsia" w:ascii="宋体" w:hAnsi="宋体" w:eastAsia="宋体" w:cs="宋体"/>
          <w:b/>
          <w:bCs/>
          <w:color w:val="auto"/>
          <w:sz w:val="24"/>
          <w:szCs w:val="24"/>
          <w:highlight w:val="none"/>
          <w:lang w:eastAsia="zh-CN"/>
        </w:rPr>
        <w:t>货物安装完成，</w:t>
      </w:r>
      <w:r>
        <w:rPr>
          <w:rFonts w:hint="eastAsia" w:ascii="宋体" w:hAnsi="宋体" w:eastAsia="宋体" w:cs="宋体"/>
          <w:b/>
          <w:bCs/>
          <w:color w:val="auto"/>
          <w:sz w:val="24"/>
          <w:szCs w:val="24"/>
          <w:highlight w:val="none"/>
        </w:rPr>
        <w:t>经验收合格无质量问题，</w:t>
      </w:r>
      <w:r>
        <w:rPr>
          <w:rFonts w:hint="eastAsia" w:ascii="宋体" w:hAnsi="宋体" w:cs="宋体"/>
          <w:b/>
          <w:bCs/>
          <w:color w:val="auto"/>
          <w:sz w:val="24"/>
          <w:szCs w:val="24"/>
          <w:highlight w:val="none"/>
          <w:lang w:eastAsia="zh-CN"/>
        </w:rPr>
        <w:t>采购人</w:t>
      </w:r>
      <w:r>
        <w:rPr>
          <w:rFonts w:hint="eastAsia" w:ascii="宋体" w:hAnsi="宋体" w:eastAsia="宋体" w:cs="宋体"/>
          <w:b/>
          <w:bCs/>
          <w:color w:val="auto"/>
          <w:sz w:val="24"/>
          <w:szCs w:val="24"/>
          <w:highlight w:val="none"/>
        </w:rPr>
        <w:t>收到增值税专用发票后，达到付款条件起</w:t>
      </w:r>
      <w:r>
        <w:rPr>
          <w:rFonts w:hint="eastAsia" w:ascii="宋体" w:hAnsi="宋体" w:cs="宋体"/>
          <w:b/>
          <w:bCs/>
          <w:color w:val="auto"/>
          <w:sz w:val="24"/>
          <w:szCs w:val="24"/>
          <w:highlight w:val="none"/>
          <w:lang w:val="en-US" w:eastAsia="zh-CN"/>
        </w:rPr>
        <w:t>15</w:t>
      </w:r>
      <w:r>
        <w:rPr>
          <w:rFonts w:hint="eastAsia" w:ascii="宋体" w:hAnsi="宋体" w:eastAsia="宋体" w:cs="宋体"/>
          <w:b/>
          <w:bCs/>
          <w:color w:val="auto"/>
          <w:sz w:val="24"/>
          <w:szCs w:val="24"/>
          <w:highlight w:val="none"/>
        </w:rPr>
        <w:t>日内</w:t>
      </w:r>
      <w:r>
        <w:rPr>
          <w:rFonts w:hint="eastAsia" w:ascii="宋体" w:hAnsi="宋体" w:cs="宋体"/>
          <w:b/>
          <w:bCs/>
          <w:color w:val="auto"/>
          <w:sz w:val="24"/>
          <w:szCs w:val="24"/>
          <w:highlight w:val="none"/>
          <w:lang w:eastAsia="zh-CN"/>
        </w:rPr>
        <w:t>，一次性</w:t>
      </w:r>
      <w:r>
        <w:rPr>
          <w:rFonts w:hint="eastAsia" w:ascii="宋体" w:hAnsi="宋体" w:eastAsia="宋体" w:cs="宋体"/>
          <w:b/>
          <w:bCs/>
          <w:color w:val="auto"/>
          <w:sz w:val="24"/>
          <w:szCs w:val="24"/>
          <w:highlight w:val="none"/>
        </w:rPr>
        <w:t>支付</w:t>
      </w:r>
      <w:r>
        <w:rPr>
          <w:rFonts w:hint="eastAsia" w:ascii="宋体" w:hAnsi="宋体" w:cs="宋体"/>
          <w:b/>
          <w:bCs/>
          <w:color w:val="auto"/>
          <w:sz w:val="24"/>
          <w:szCs w:val="24"/>
          <w:highlight w:val="none"/>
          <w:lang w:eastAsia="zh-CN"/>
        </w:rPr>
        <w:t>合同总价的</w:t>
      </w:r>
      <w:r>
        <w:rPr>
          <w:rFonts w:hint="eastAsia" w:ascii="宋体" w:hAnsi="宋体" w:eastAsia="宋体" w:cs="宋体"/>
          <w:b/>
          <w:bCs/>
          <w:color w:val="auto"/>
          <w:sz w:val="24"/>
          <w:szCs w:val="24"/>
          <w:highlight w:val="none"/>
        </w:rPr>
        <w:t>100%</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cs="宋体"/>
          <w:b/>
          <w:bCs w:val="0"/>
          <w:color w:val="auto"/>
          <w:sz w:val="24"/>
          <w:szCs w:val="24"/>
          <w:lang w:val="en-US" w:eastAsia="zh-CN"/>
        </w:rPr>
        <w:t>7</w:t>
      </w:r>
      <w:r>
        <w:rPr>
          <w:rFonts w:hint="eastAsia" w:ascii="宋体" w:hAnsi="宋体" w:eastAsia="宋体" w:cs="宋体"/>
          <w:b/>
          <w:bCs w:val="0"/>
          <w:color w:val="auto"/>
          <w:sz w:val="24"/>
          <w:szCs w:val="24"/>
        </w:rPr>
        <w:t>、服务要求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负责将货物按签订合同的具体数量分别运送到采购人指定的地点，</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负责派技术人员到现场进行安装、调试，并负责到验收合格交付使用为止。</w:t>
      </w:r>
      <w:r>
        <w:rPr>
          <w:rFonts w:hint="eastAsia" w:ascii="宋体" w:hAnsi="宋体" w:eastAsia="宋体" w:cs="宋体"/>
          <w:color w:val="auto"/>
          <w:sz w:val="24"/>
          <w:szCs w:val="24"/>
        </w:rPr>
        <w:t>采购人应及时进行验收，采购人无正当理由不得无故拖延验收时间</w:t>
      </w:r>
      <w:r>
        <w:rPr>
          <w:rFonts w:hint="eastAsia" w:ascii="宋体" w:hAnsi="宋体" w:eastAsia="宋体" w:cs="宋体"/>
          <w:color w:val="auto"/>
          <w:sz w:val="24"/>
          <w:szCs w:val="24"/>
          <w:lang w:eastAsia="zh-CN"/>
        </w:rPr>
        <w:t>。</w:t>
      </w:r>
      <w:r>
        <w:rPr>
          <w:rFonts w:hint="eastAsia" w:ascii="宋体" w:hAnsi="宋体" w:eastAsia="宋体" w:cs="宋体"/>
          <w:bCs/>
          <w:color w:val="auto"/>
          <w:sz w:val="24"/>
          <w:szCs w:val="24"/>
        </w:rPr>
        <w:t>所有设备必须是原厂原装包装。若发现原包装破损或技术资料不齐全等，采购人有权不予接收，</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应无条件免费重新更换。</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Cs/>
          <w:color w:val="auto"/>
          <w:sz w:val="24"/>
          <w:szCs w:val="24"/>
          <w:lang w:val="en-US" w:eastAsia="zh-CN"/>
        </w:rPr>
      </w:pPr>
      <w:r>
        <w:rPr>
          <w:rFonts w:hint="eastAsia" w:ascii="宋体" w:hAnsi="宋体" w:cs="宋体"/>
          <w:b/>
          <w:bCs w:val="0"/>
          <w:color w:val="auto"/>
          <w:sz w:val="24"/>
          <w:szCs w:val="24"/>
          <w:lang w:val="en-US" w:eastAsia="zh-CN"/>
        </w:rPr>
        <w:t>8</w:t>
      </w:r>
      <w:r>
        <w:rPr>
          <w:rFonts w:hint="eastAsia" w:ascii="宋体" w:hAnsi="宋体" w:eastAsia="宋体" w:cs="宋体"/>
          <w:b/>
          <w:bCs w:val="0"/>
          <w:color w:val="auto"/>
          <w:sz w:val="24"/>
          <w:szCs w:val="24"/>
          <w:lang w:val="en-US" w:eastAsia="zh-CN"/>
        </w:rPr>
        <w:t>、包装、保险及运输</w:t>
      </w:r>
    </w:p>
    <w:p>
      <w:pPr>
        <w:pStyle w:val="31"/>
        <w:widowControl/>
        <w:spacing w:line="400" w:lineRule="exact"/>
        <w:ind w:firstLine="480" w:firstLineChars="200"/>
        <w:jc w:val="left"/>
        <w:rPr>
          <w:rFonts w:ascii="宋体" w:hAnsi="宋体" w:eastAsia="宋体" w:cs="宋体"/>
          <w:bCs/>
          <w:color w:val="auto"/>
          <w:sz w:val="24"/>
          <w:szCs w:val="24"/>
        </w:rPr>
      </w:pPr>
      <w:r>
        <w:rPr>
          <w:rFonts w:hint="eastAsia" w:ascii="宋体" w:hAnsi="宋体" w:cs="宋体"/>
          <w:bCs/>
          <w:color w:val="auto"/>
          <w:sz w:val="24"/>
          <w:szCs w:val="24"/>
          <w:lang w:val="en-US" w:eastAsia="zh-CN"/>
        </w:rPr>
        <w:t>8</w:t>
      </w:r>
      <w:r>
        <w:rPr>
          <w:rFonts w:hint="eastAsia" w:ascii="宋体" w:hAnsi="宋体" w:eastAsia="宋体" w:cs="宋体"/>
          <w:bCs/>
          <w:color w:val="auto"/>
          <w:sz w:val="24"/>
          <w:szCs w:val="24"/>
          <w:lang w:val="en-US" w:eastAsia="zh-CN"/>
        </w:rPr>
        <w:t>.1</w:t>
      </w:r>
      <w:r>
        <w:rPr>
          <w:rFonts w:hint="eastAsia" w:ascii="宋体" w:hAnsi="宋体" w:eastAsia="宋体" w:cs="宋体"/>
          <w:bCs/>
          <w:color w:val="auto"/>
          <w:sz w:val="24"/>
          <w:szCs w:val="24"/>
        </w:rPr>
        <w:t>货物包装必须与运输方式相适应，</w:t>
      </w:r>
      <w:r>
        <w:rPr>
          <w:rFonts w:ascii="宋体" w:hAnsi="宋体" w:eastAsia="宋体" w:cs="宋体"/>
          <w:b w:val="0"/>
          <w:bCs/>
          <w:color w:val="auto"/>
          <w:sz w:val="24"/>
          <w:szCs w:val="24"/>
          <w:highlight w:val="none"/>
          <w:shd w:val="clear" w:fill="FFFFFF"/>
        </w:rPr>
        <w:t>其包装均应有良好的防湿、防锈、防潮、防雨、防腐及防碰撞的措施。</w:t>
      </w:r>
      <w:r>
        <w:rPr>
          <w:rFonts w:hint="eastAsia" w:ascii="宋体" w:hAnsi="宋体" w:eastAsia="宋体" w:cs="宋体"/>
          <w:bCs/>
          <w:color w:val="auto"/>
          <w:sz w:val="24"/>
          <w:szCs w:val="24"/>
        </w:rPr>
        <w:t>包装方式的确定及包装费用均由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负责；由于不适当的包装而造成货物在运输过程中有任何损坏由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负责。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8</w:t>
      </w:r>
      <w:r>
        <w:rPr>
          <w:rFonts w:hint="eastAsia" w:ascii="宋体" w:hAnsi="宋体" w:eastAsia="宋体" w:cs="宋体"/>
          <w:bCs/>
          <w:color w:val="auto"/>
          <w:sz w:val="24"/>
          <w:szCs w:val="24"/>
          <w:lang w:val="en-US" w:eastAsia="zh-CN"/>
        </w:rPr>
        <w:t>.2</w:t>
      </w:r>
      <w:r>
        <w:rPr>
          <w:rFonts w:hint="eastAsia" w:ascii="宋体" w:hAnsi="宋体" w:eastAsia="宋体" w:cs="宋体"/>
          <w:bCs/>
          <w:color w:val="auto"/>
          <w:sz w:val="24"/>
          <w:szCs w:val="24"/>
        </w:rPr>
        <w:t>货物包装应足以承受整个过程中的运输、转运、装卸、储存等，应充分考虑到运输途中的各种情况(如暴露于恶劣气候等)和当地的气候特点，以及露天存放的需要。</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8</w:t>
      </w:r>
      <w:r>
        <w:rPr>
          <w:rFonts w:hint="eastAsia" w:ascii="宋体" w:hAnsi="宋体" w:eastAsia="宋体" w:cs="宋体"/>
          <w:bCs/>
          <w:color w:val="auto"/>
          <w:sz w:val="24"/>
          <w:szCs w:val="24"/>
          <w:lang w:val="en-US" w:eastAsia="zh-CN"/>
        </w:rPr>
        <w:t>.3</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负责组织专业技术人员进行货物调试，采购人提供必需的基本条件和专人配合，保证各项安装工作顺利进行，安装过程中采购人或第三方配合的工作所发生的费用应由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支付给采购人或配合方。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8</w:t>
      </w:r>
      <w:r>
        <w:rPr>
          <w:rFonts w:hint="eastAsia" w:ascii="宋体" w:hAnsi="宋体" w:eastAsia="宋体" w:cs="宋体"/>
          <w:bCs/>
          <w:color w:val="auto"/>
          <w:sz w:val="24"/>
          <w:szCs w:val="24"/>
          <w:lang w:val="en-US" w:eastAsia="zh-CN"/>
        </w:rPr>
        <w:t>.4</w:t>
      </w:r>
      <w:r>
        <w:rPr>
          <w:rFonts w:hint="eastAsia" w:ascii="宋体" w:hAnsi="宋体" w:eastAsia="宋体" w:cs="宋体"/>
          <w:bCs/>
          <w:color w:val="auto"/>
          <w:sz w:val="24"/>
          <w:szCs w:val="24"/>
        </w:rPr>
        <w:t>在安装过程中，如由于</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原因导致产品损坏，</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将要负责更换或赔偿损失。</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8</w:t>
      </w:r>
      <w:r>
        <w:rPr>
          <w:rFonts w:hint="eastAsia" w:ascii="宋体" w:hAnsi="宋体" w:eastAsia="宋体" w:cs="宋体"/>
          <w:bCs/>
          <w:color w:val="auto"/>
          <w:sz w:val="24"/>
          <w:szCs w:val="24"/>
          <w:lang w:val="en-US" w:eastAsia="zh-CN"/>
        </w:rPr>
        <w:t>.5</w:t>
      </w:r>
      <w:r>
        <w:rPr>
          <w:rFonts w:hint="eastAsia" w:ascii="宋体" w:hAnsi="宋体" w:eastAsia="宋体" w:cs="宋体"/>
          <w:bCs/>
          <w:color w:val="auto"/>
          <w:sz w:val="24"/>
          <w:szCs w:val="24"/>
        </w:rPr>
        <w:t>投标人提供的</w:t>
      </w:r>
      <w:r>
        <w:rPr>
          <w:rFonts w:hint="eastAsia" w:ascii="宋体" w:hAnsi="宋体" w:eastAsia="宋体" w:cs="宋体"/>
          <w:bCs/>
          <w:color w:val="auto"/>
          <w:sz w:val="24"/>
          <w:szCs w:val="24"/>
          <w:lang w:eastAsia="zh-CN"/>
        </w:rPr>
        <w:t>所有</w:t>
      </w:r>
      <w:r>
        <w:rPr>
          <w:rFonts w:hint="eastAsia" w:ascii="宋体" w:hAnsi="宋体" w:eastAsia="宋体" w:cs="宋体"/>
          <w:bCs/>
          <w:color w:val="auto"/>
          <w:sz w:val="24"/>
          <w:szCs w:val="24"/>
        </w:rPr>
        <w:t>产品必须为原厂原装。需派原厂工程师到采购人指定地点进行安装调试。</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cs="宋体"/>
          <w:b/>
          <w:bCs w:val="0"/>
          <w:color w:val="auto"/>
          <w:sz w:val="24"/>
          <w:szCs w:val="24"/>
          <w:lang w:val="en-US" w:eastAsia="zh-CN"/>
        </w:rPr>
        <w:t>9</w:t>
      </w:r>
      <w:r>
        <w:rPr>
          <w:rFonts w:hint="eastAsia" w:ascii="宋体" w:hAnsi="宋体" w:eastAsia="宋体" w:cs="宋体"/>
          <w:b/>
          <w:bCs w:val="0"/>
          <w:color w:val="auto"/>
          <w:sz w:val="24"/>
          <w:szCs w:val="24"/>
        </w:rPr>
        <w:t>、技术培训</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应结合自检、最终验收阶段，免费为采购人的相关人员进行有关货物安装、调试、维护、操作、保养等方面的现场培训。</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委派的专业技术人员所需费用均由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承担。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cs="宋体"/>
          <w:b/>
          <w:bCs w:val="0"/>
          <w:color w:val="auto"/>
          <w:sz w:val="24"/>
          <w:szCs w:val="24"/>
          <w:lang w:val="en-US" w:eastAsia="zh-CN"/>
        </w:rPr>
        <w:t>10</w:t>
      </w:r>
      <w:r>
        <w:rPr>
          <w:rFonts w:hint="eastAsia" w:ascii="宋体" w:hAnsi="宋体" w:eastAsia="宋体" w:cs="宋体"/>
          <w:b/>
          <w:bCs w:val="0"/>
          <w:color w:val="auto"/>
          <w:sz w:val="24"/>
          <w:szCs w:val="24"/>
        </w:rPr>
        <w:t>、</w:t>
      </w:r>
      <w:r>
        <w:rPr>
          <w:rFonts w:hint="eastAsia" w:ascii="宋体" w:hAnsi="宋体" w:eastAsia="宋体" w:cs="宋体"/>
          <w:b/>
          <w:bCs w:val="0"/>
          <w:color w:val="auto"/>
          <w:sz w:val="24"/>
          <w:szCs w:val="24"/>
          <w:lang w:eastAsia="zh-CN"/>
        </w:rPr>
        <w:t>维保</w:t>
      </w:r>
      <w:r>
        <w:rPr>
          <w:rFonts w:hint="eastAsia" w:ascii="宋体" w:hAnsi="宋体" w:eastAsia="宋体" w:cs="宋体"/>
          <w:b/>
          <w:bCs w:val="0"/>
          <w:color w:val="auto"/>
          <w:sz w:val="24"/>
          <w:szCs w:val="24"/>
        </w:rPr>
        <w:t>期和售后服务要求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0</w:t>
      </w:r>
      <w:r>
        <w:rPr>
          <w:rFonts w:hint="eastAsia" w:ascii="宋体" w:hAnsi="宋体" w:eastAsia="宋体" w:cs="宋体"/>
          <w:bCs/>
          <w:color w:val="auto"/>
          <w:sz w:val="24"/>
          <w:szCs w:val="24"/>
        </w:rPr>
        <w:t>.1</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自验收合格投入使用之日起应提供对整机</w:t>
      </w:r>
      <w:r>
        <w:rPr>
          <w:rFonts w:hint="eastAsia" w:ascii="宋体" w:hAnsi="宋体" w:eastAsia="宋体" w:cs="宋体"/>
          <w:bCs/>
          <w:color w:val="auto"/>
          <w:sz w:val="24"/>
          <w:szCs w:val="24"/>
          <w:lang w:eastAsia="zh-CN"/>
        </w:rPr>
        <w:t>至少贰年的维保期，维保期内提供</w:t>
      </w:r>
      <w:r>
        <w:rPr>
          <w:rFonts w:hint="eastAsia" w:ascii="宋体" w:hAnsi="宋体" w:eastAsia="宋体" w:cs="宋体"/>
          <w:bCs/>
          <w:color w:val="auto"/>
          <w:sz w:val="24"/>
          <w:szCs w:val="24"/>
        </w:rPr>
        <w:t>免费上门</w:t>
      </w:r>
      <w:r>
        <w:rPr>
          <w:rFonts w:hint="eastAsia" w:ascii="宋体" w:hAnsi="宋体" w:eastAsia="宋体" w:cs="宋体"/>
          <w:bCs/>
          <w:color w:val="auto"/>
          <w:sz w:val="24"/>
          <w:szCs w:val="24"/>
          <w:lang w:eastAsia="zh-CN"/>
        </w:rPr>
        <w:t>维保</w:t>
      </w:r>
      <w:r>
        <w:rPr>
          <w:rFonts w:hint="eastAsia" w:ascii="宋体" w:hAnsi="宋体" w:eastAsia="宋体" w:cs="宋体"/>
          <w:bCs/>
          <w:color w:val="auto"/>
          <w:sz w:val="24"/>
          <w:szCs w:val="24"/>
        </w:rPr>
        <w:t>服务</w:t>
      </w:r>
      <w:r>
        <w:rPr>
          <w:rFonts w:hint="eastAsia" w:ascii="宋体" w:hAnsi="宋体" w:cs="宋体"/>
          <w:bCs/>
          <w:color w:val="auto"/>
          <w:sz w:val="24"/>
          <w:szCs w:val="24"/>
          <w:lang w:eastAsia="zh-CN"/>
        </w:rPr>
        <w:t>，</w:t>
      </w:r>
      <w:r>
        <w:rPr>
          <w:rFonts w:hint="eastAsia" w:ascii="宋体" w:hAnsi="宋体" w:eastAsia="宋体" w:cs="宋体"/>
          <w:bCs/>
          <w:color w:val="auto"/>
          <w:sz w:val="24"/>
          <w:szCs w:val="24"/>
        </w:rPr>
        <w:t>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负责包修、包换。每年</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须免费对所有货物进行一次巡查，为采购人提供必要的服务；所有货物在</w:t>
      </w:r>
      <w:r>
        <w:rPr>
          <w:rFonts w:hint="eastAsia" w:ascii="宋体" w:hAnsi="宋体" w:eastAsia="宋体" w:cs="宋体"/>
          <w:bCs/>
          <w:color w:val="auto"/>
          <w:sz w:val="24"/>
          <w:szCs w:val="24"/>
          <w:lang w:eastAsia="zh-CN"/>
        </w:rPr>
        <w:t>维保</w:t>
      </w:r>
      <w:r>
        <w:rPr>
          <w:rFonts w:hint="eastAsia" w:ascii="宋体" w:hAnsi="宋体" w:eastAsia="宋体" w:cs="宋体"/>
          <w:bCs/>
          <w:color w:val="auto"/>
          <w:sz w:val="24"/>
          <w:szCs w:val="24"/>
        </w:rPr>
        <w:t>期结束前1个月，</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须免费进行一次全面的维护与保养，如发现潜在问题，应负责排除，并保证货物正常使用。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0</w:t>
      </w:r>
      <w:r>
        <w:rPr>
          <w:rFonts w:hint="eastAsia" w:ascii="宋体" w:hAnsi="宋体" w:eastAsia="宋体" w:cs="宋体"/>
          <w:bCs/>
          <w:color w:val="auto"/>
          <w:sz w:val="24"/>
          <w:szCs w:val="24"/>
        </w:rPr>
        <w:t>.2在</w:t>
      </w:r>
      <w:r>
        <w:rPr>
          <w:rFonts w:hint="eastAsia" w:ascii="宋体" w:hAnsi="宋体" w:eastAsia="宋体" w:cs="宋体"/>
          <w:bCs/>
          <w:color w:val="auto"/>
          <w:sz w:val="24"/>
          <w:szCs w:val="24"/>
          <w:lang w:eastAsia="zh-CN"/>
        </w:rPr>
        <w:t>维保</w:t>
      </w:r>
      <w:r>
        <w:rPr>
          <w:rFonts w:hint="eastAsia" w:ascii="宋体" w:hAnsi="宋体" w:eastAsia="宋体" w:cs="宋体"/>
          <w:bCs/>
          <w:color w:val="auto"/>
          <w:sz w:val="24"/>
          <w:szCs w:val="24"/>
        </w:rPr>
        <w:t>期内货物运行发生故障时</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在接到采购人报告故障电话通知后2小时内电话响应，8小时内到达用户现场解决问题，24小时内无法排除故障的，应提供则相应的备用设备以保证采购人的正常使用。故障维修响应时间内未到过现场进行维修者，采购人可自行委托相关企业进行维修，所需费用从合同余款中扣除。</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0</w:t>
      </w:r>
      <w:r>
        <w:rPr>
          <w:rFonts w:hint="eastAsia" w:ascii="宋体" w:hAnsi="宋体" w:eastAsia="宋体" w:cs="宋体"/>
          <w:bCs/>
          <w:color w:val="auto"/>
          <w:sz w:val="24"/>
          <w:szCs w:val="24"/>
        </w:rPr>
        <w:t>.</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所有货物</w:t>
      </w:r>
      <w:r>
        <w:rPr>
          <w:rFonts w:hint="eastAsia" w:ascii="宋体" w:hAnsi="宋体" w:eastAsia="宋体" w:cs="宋体"/>
          <w:bCs/>
          <w:color w:val="auto"/>
          <w:sz w:val="24"/>
          <w:szCs w:val="24"/>
          <w:lang w:eastAsia="zh-CN"/>
        </w:rPr>
        <w:t>维保</w:t>
      </w:r>
      <w:r>
        <w:rPr>
          <w:rFonts w:hint="eastAsia" w:ascii="宋体" w:hAnsi="宋体" w:eastAsia="宋体" w:cs="宋体"/>
          <w:bCs/>
          <w:color w:val="auto"/>
          <w:sz w:val="24"/>
          <w:szCs w:val="24"/>
        </w:rPr>
        <w:t>服务均为</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上门</w:t>
      </w:r>
      <w:r>
        <w:rPr>
          <w:rFonts w:hint="eastAsia" w:ascii="宋体" w:hAnsi="宋体" w:eastAsia="宋体" w:cs="宋体"/>
          <w:bCs/>
          <w:color w:val="auto"/>
          <w:sz w:val="24"/>
          <w:szCs w:val="24"/>
          <w:lang w:eastAsia="zh-CN"/>
        </w:rPr>
        <w:t>维保</w:t>
      </w:r>
      <w:r>
        <w:rPr>
          <w:rFonts w:hint="eastAsia" w:ascii="宋体" w:hAnsi="宋体" w:eastAsia="宋体" w:cs="宋体"/>
          <w:bCs/>
          <w:color w:val="auto"/>
          <w:sz w:val="24"/>
          <w:szCs w:val="24"/>
        </w:rPr>
        <w:t>，由此产生的一切费用均由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承担。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1</w:t>
      </w:r>
      <w:r>
        <w:rPr>
          <w:rFonts w:hint="eastAsia" w:ascii="宋体" w:hAnsi="宋体" w:eastAsia="宋体" w:cs="宋体"/>
          <w:b/>
          <w:bCs w:val="0"/>
          <w:color w:val="auto"/>
          <w:sz w:val="24"/>
          <w:szCs w:val="24"/>
        </w:rPr>
        <w:t>、验收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1</w:t>
      </w:r>
      <w:r>
        <w:rPr>
          <w:rFonts w:hint="eastAsia" w:ascii="宋体" w:hAnsi="宋体" w:eastAsia="宋体" w:cs="宋体"/>
          <w:bCs/>
          <w:color w:val="auto"/>
          <w:sz w:val="24"/>
          <w:szCs w:val="24"/>
        </w:rPr>
        <w:t>.1验收标准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所有货物按厂家产品验收标准(符合国家或行业或地方标准)、招标文件、投标文件等有关部分内容进行验收。产品质量达到设计要求，安装调试各项指标符合技术参数要求且须通过质检、计量部门的检验。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1</w:t>
      </w:r>
      <w:r>
        <w:rPr>
          <w:rFonts w:hint="eastAsia" w:ascii="宋体" w:hAnsi="宋体" w:eastAsia="宋体" w:cs="宋体"/>
          <w:bCs/>
          <w:color w:val="auto"/>
          <w:sz w:val="24"/>
          <w:szCs w:val="24"/>
        </w:rPr>
        <w:t>.2验收程序和方法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a.出厂检验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在货物出厂前，应对货物进行全面检验，并随同货物出具检验报告和产品合格证等。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b.</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自检</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货物在安装地安装完毕后，</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对所有货物的外观、各项性能参数进行自检，检验结果必须符合验收标准以及合同中相关条款要求，同时向采购人提供自检记录。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c.最终验收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经自检、抽检合格后，由采购人进行验收，若验收合格，由专家在验收报告上签字确认，若验收不合格，</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须进行整改，直至验收通过。</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验收期间，采购人有权选择具有相关检测资格的第三方检测机构对货物进行检测，或者要求</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提供相关网站或者第三方机构出具的检测报告，对投标文件响应的或者投标产品体现的有关技术参数进行验证，无法提供的按有关法律法规处理。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在采购人安装现场进行最终验收所发生的检测费等一切费用均由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承担。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2</w:t>
      </w:r>
      <w:r>
        <w:rPr>
          <w:rFonts w:hint="eastAsia" w:ascii="宋体" w:hAnsi="宋体" w:eastAsia="宋体" w:cs="宋体"/>
          <w:b/>
          <w:bCs w:val="0"/>
          <w:color w:val="auto"/>
          <w:sz w:val="24"/>
          <w:szCs w:val="24"/>
        </w:rPr>
        <w:t>、特殊工具与备品备件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2</w:t>
      </w:r>
      <w:r>
        <w:rPr>
          <w:rFonts w:hint="eastAsia" w:ascii="宋体" w:hAnsi="宋体" w:eastAsia="宋体" w:cs="宋体"/>
          <w:bCs/>
          <w:color w:val="auto"/>
          <w:sz w:val="24"/>
          <w:szCs w:val="24"/>
        </w:rPr>
        <w:t>.1特殊工具：</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应向采购人提供货物安装、调试和维修所需的特殊专用工具及清单(如果有的话)，投标人应在投标文件中标明(如果有的话)。</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2</w:t>
      </w:r>
      <w:r>
        <w:rPr>
          <w:rFonts w:hint="eastAsia" w:ascii="宋体" w:hAnsi="宋体" w:eastAsia="宋体" w:cs="宋体"/>
          <w:bCs/>
          <w:color w:val="auto"/>
          <w:sz w:val="24"/>
          <w:szCs w:val="24"/>
        </w:rPr>
        <w:t>.2备品备件：投标人应在投标文件中标明货物备品备件清单；</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应在设备运送到采购人时，配齐在保修期内所需的备品备件。</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3</w:t>
      </w:r>
      <w:r>
        <w:rPr>
          <w:rFonts w:hint="eastAsia" w:ascii="宋体" w:hAnsi="宋体" w:eastAsia="宋体" w:cs="宋体"/>
          <w:b/>
          <w:bCs w:val="0"/>
          <w:color w:val="auto"/>
          <w:sz w:val="24"/>
          <w:szCs w:val="24"/>
        </w:rPr>
        <w:t>、违约责任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.1因</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原因造成采购供货合同无法按时签订，视为</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违约，采购人有权没收其履约保证金，如履约保证金不能弥补</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违约对采购人造成的损失的，</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还需另行支付相应的赔偿。</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.2签订合同后因</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任何违约行为导致合同无法正常继续履行或提前终止，采购人有权没收履约保证金。</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.3本项目不允许</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以任何名义和理由进行转包，如有发现，采购人有权终止合同并没收履约保证金，对采购人造成的损失的，需另行支付相应的赔偿。</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.4</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未在合同规定期限内完成施工并将设备交付采购人使用的，每逾期1日须向采购人支付违约金3000元，不足1日的按1日计算；超过7日（含7日）不能完成的，视为</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不能供货，采购人有权没收履约保证金并另行采购，由此产生的差价由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承担。因疫情、国家政策、不可抗力因素造成的逾期或</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申请延期并获得采购人批准的除外。</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.5</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必须遵守国家法律及采购人单位保密、安全的相关规章制度，与采购人签订外协人员管理协议承诺书，投标方进入采购人所在监区的车辆、人员必须遵守采购人有关规定，必须无条件接受采购人检查，不得私自离开指定的区域；不得私自会见罪犯，不得携带手机等通讯工具（因施工需要且取得采购人许可除外），不得为罪犯传递信件、手机、毒品、酒类、黄色书刊及图片、刀具、绳索、打火机、有价证券、信用卡、数码产品等一切物品，不得接近无关人员，不得与无关人员聊天，不得四处走动，不得为无关人员捎带、传递任何物品等。违反上述相关规定，视情况予以罚款5000-50000元。若造成严重后果，采购人有权终止合同，并没收履约保证金，若触犯法律移送司法机关处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.6因</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原因发生重大质量事故，除依约承担赔偿责任外，还将按有关质量管理办法规定执行。同时，采购人有权解除合同，履约保证金不予退还，给采购人造成损失的还应当承担赔偿责任，并报相关行政主管部门处罚。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.7</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在安装或其他作业时发生安全事故的，</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除承担相应的法律责任外，造成采购方经济损失的，应给予相应的赔偿。同时采购方有权单方面解除合同并没收</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的履约保证金。未造成安全事故的，</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应在采购方的限期内进行整改，对造成采购方的损失进行赔偿。</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8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解除合同履约保证金不予退还，给采购人造成的损失，还应承担赔偿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.9在明确违约责任后，</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应在接到书面通知起7日内将违约金、赔偿金等转入采购人指定账户，采购人也有权从尚未支付的货款或履约保证金中扣除。</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.10</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提供的货物质量不符合合同(或</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投标/响应文件) 约定的，</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应无条件予以配合免费退货换货，因退换货不及时影响采购人工作的，发现一次，</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应向采购人支付 5000 元违约金，因产品质量问题造成甲方或任何第三方损害的，</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应承担一切损害赔偿、法律责任，采购人有权单方解除合同，不予退还</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的履约保证金。违约金可直接从应付货款或质保金中扣除，不足部分</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还须向甲方缴纳；违约金不足以弥补给甲方造成的损失的，</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还应承担相应的赔偿责任。</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4</w:t>
      </w:r>
      <w:r>
        <w:rPr>
          <w:rFonts w:hint="eastAsia" w:ascii="宋体" w:hAnsi="宋体" w:eastAsia="宋体" w:cs="宋体"/>
          <w:b/>
          <w:bCs w:val="0"/>
          <w:color w:val="auto"/>
          <w:sz w:val="24"/>
          <w:szCs w:val="24"/>
        </w:rPr>
        <w:t>、安全责任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4</w:t>
      </w:r>
      <w:r>
        <w:rPr>
          <w:rFonts w:hint="eastAsia" w:ascii="宋体" w:hAnsi="宋体" w:eastAsia="宋体" w:cs="宋体"/>
          <w:bCs/>
          <w:color w:val="auto"/>
          <w:sz w:val="24"/>
          <w:szCs w:val="24"/>
        </w:rPr>
        <w:t>.1中标方须签订安全协议书，上岗操作人员必须依照有关规定持证上岗，严禁无证人员操作。</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4</w:t>
      </w:r>
      <w:r>
        <w:rPr>
          <w:rFonts w:hint="eastAsia" w:ascii="宋体" w:hAnsi="宋体" w:eastAsia="宋体" w:cs="宋体"/>
          <w:bCs/>
          <w:color w:val="auto"/>
          <w:sz w:val="24"/>
          <w:szCs w:val="24"/>
        </w:rPr>
        <w:t>.2施工现场临时用电线路、用电设施的安装和使用必须符合相关电气安装规范，并按照临时用电施工组织设计进行架设，严禁随意拉线接电。</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4</w:t>
      </w:r>
      <w:r>
        <w:rPr>
          <w:rFonts w:hint="eastAsia" w:ascii="宋体" w:hAnsi="宋体" w:eastAsia="宋体" w:cs="宋体"/>
          <w:bCs/>
          <w:color w:val="auto"/>
          <w:sz w:val="24"/>
          <w:szCs w:val="24"/>
        </w:rPr>
        <w:t>.3施工现场应采取专项防护措施，以保证施工现场及其相邻区域人员和设施的安全。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4</w:t>
      </w:r>
      <w:r>
        <w:rPr>
          <w:rFonts w:hint="eastAsia" w:ascii="宋体" w:hAnsi="宋体" w:eastAsia="宋体" w:cs="宋体"/>
          <w:bCs/>
          <w:color w:val="auto"/>
          <w:sz w:val="24"/>
          <w:szCs w:val="24"/>
        </w:rPr>
        <w:t>.4</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自行负责在施工现场中所发生的人员伤亡和财产损失；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应为施工人员投相关人身健康或者工伤保险，以保障施工人员人身安全。</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5</w:t>
      </w:r>
      <w:r>
        <w:rPr>
          <w:rFonts w:hint="eastAsia" w:ascii="宋体" w:hAnsi="宋体" w:eastAsia="宋体" w:cs="宋体"/>
          <w:b/>
          <w:bCs w:val="0"/>
          <w:color w:val="auto"/>
          <w:sz w:val="24"/>
          <w:szCs w:val="24"/>
        </w:rPr>
        <w:t>、保密条款</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5</w:t>
      </w:r>
      <w:r>
        <w:rPr>
          <w:rFonts w:hint="eastAsia" w:ascii="宋体" w:hAnsi="宋体" w:eastAsia="宋体" w:cs="宋体"/>
          <w:bCs/>
          <w:color w:val="auto"/>
          <w:sz w:val="24"/>
          <w:szCs w:val="24"/>
        </w:rPr>
        <w:t>.1</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应当对本项目的内容、因履行本项目合同期间知悉的或收到的采购的财务、技术、产品信息、民警资料或其他工作上的文件资料、工作内容等予以保密，不得向</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以外的任何第三方披露，签订并严格执行《单位保密承诺书》；</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进入采购人工作区域的工作人员需签订《个人保密承诺书》，严格履行保密义务。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5</w:t>
      </w:r>
      <w:r>
        <w:rPr>
          <w:rFonts w:hint="eastAsia" w:ascii="宋体" w:hAnsi="宋体" w:eastAsia="宋体" w:cs="宋体"/>
          <w:bCs/>
          <w:color w:val="auto"/>
          <w:sz w:val="24"/>
          <w:szCs w:val="24"/>
        </w:rPr>
        <w:t>.2</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违反本条约定泄露采购人的涉密信息的，应承担相应的法律责任，造成采购人损失的，</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应当依法承担赔偿责任。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5</w:t>
      </w:r>
      <w:r>
        <w:rPr>
          <w:rFonts w:hint="eastAsia" w:ascii="宋体" w:hAnsi="宋体" w:eastAsia="宋体" w:cs="宋体"/>
          <w:bCs/>
          <w:color w:val="auto"/>
          <w:sz w:val="24"/>
          <w:szCs w:val="24"/>
        </w:rPr>
        <w:t>.3本条款不因合同届满或解除而失效。</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6</w:t>
      </w:r>
      <w:r>
        <w:rPr>
          <w:rFonts w:hint="eastAsia" w:ascii="宋体" w:hAnsi="宋体" w:eastAsia="宋体" w:cs="宋体"/>
          <w:b/>
          <w:bCs w:val="0"/>
          <w:color w:val="auto"/>
          <w:sz w:val="24"/>
          <w:szCs w:val="24"/>
        </w:rPr>
        <w:t>、廉政条款</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6</w:t>
      </w:r>
      <w:r>
        <w:rPr>
          <w:rFonts w:hint="eastAsia" w:ascii="宋体" w:hAnsi="宋体" w:eastAsia="宋体" w:cs="宋体"/>
          <w:bCs/>
          <w:color w:val="auto"/>
          <w:sz w:val="24"/>
          <w:szCs w:val="24"/>
        </w:rPr>
        <w:t>.1</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及其工作人员不得有以任何形式行贿采购人工作人员的行为，若发现并被核查属实的，采购人有权解除合同，情况严重的，</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及其工作人员还要承担相应的法律责任；采购人及其工作人员不得索要或接受</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的礼金及吃请等，如有违反廉政纪律等行为的，依据有关规定给予党纪、政纪或组织处理，情节严重的，还应承担相应的法律责任。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color w:val="auto"/>
          <w:sz w:val="24"/>
          <w:szCs w:val="24"/>
          <w:highlight w:val="none"/>
        </w:rPr>
      </w:pPr>
      <w:r>
        <w:rPr>
          <w:rFonts w:hint="eastAsia" w:ascii="宋体" w:hAnsi="宋体" w:eastAsia="宋体" w:cs="宋体"/>
          <w:b/>
          <w:bCs/>
          <w:color w:val="auto"/>
          <w:szCs w:val="24"/>
          <w:lang w:val="en-US" w:eastAsia="zh-CN"/>
        </w:rPr>
        <w:t>1</w:t>
      </w:r>
      <w:r>
        <w:rPr>
          <w:rFonts w:hint="eastAsia" w:cs="宋体"/>
          <w:b/>
          <w:bCs/>
          <w:color w:val="auto"/>
          <w:szCs w:val="24"/>
          <w:lang w:val="en-US" w:eastAsia="zh-CN"/>
        </w:rPr>
        <w:t>7</w:t>
      </w:r>
      <w:r>
        <w:rPr>
          <w:rStyle w:val="23"/>
          <w:rFonts w:hint="eastAsia" w:ascii="宋体" w:hAnsi="宋体" w:eastAsia="宋体" w:cs="宋体"/>
          <w:color w:val="auto"/>
          <w:sz w:val="24"/>
          <w:szCs w:val="24"/>
          <w:highlight w:val="none"/>
        </w:rPr>
        <w:t>.诉讼相关费用承担</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若因成交供应商未履行合同项下义务导致采购人所产生的一切损失（包括但不限于人身财产的损失、律师费、诉讼费、保全费、鉴定费等），均由成交供应商承担赔偿责任。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1</w:t>
      </w:r>
      <w:r>
        <w:rPr>
          <w:rFonts w:hint="eastAsia" w:cs="宋体"/>
          <w:b/>
          <w:bCs/>
          <w:color w:val="auto"/>
          <w:sz w:val="24"/>
          <w:szCs w:val="24"/>
          <w:highlight w:val="none"/>
          <w:lang w:val="en-US" w:eastAsia="zh-CN"/>
        </w:rPr>
        <w:t>8</w:t>
      </w: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lang w:val="zh-TW"/>
        </w:rPr>
        <w:t>不可抗力</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color w:val="auto"/>
          <w:sz w:val="24"/>
          <w:szCs w:val="24"/>
          <w:highlight w:val="none"/>
          <w:lang w:val="zh-TW"/>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Style w:val="23"/>
          <w:rFonts w:hint="eastAsia" w:ascii="宋体" w:hAnsi="宋体" w:eastAsia="宋体" w:cs="宋体"/>
          <w:color w:val="auto"/>
          <w:sz w:val="24"/>
          <w:szCs w:val="24"/>
          <w:highlight w:val="none"/>
        </w:rPr>
      </w:pPr>
      <w:r>
        <w:rPr>
          <w:rStyle w:val="23"/>
          <w:rFonts w:hint="eastAsia" w:cs="宋体"/>
          <w:color w:val="auto"/>
          <w:sz w:val="24"/>
          <w:szCs w:val="24"/>
          <w:highlight w:val="none"/>
          <w:lang w:val="en-US" w:eastAsia="zh-CN"/>
        </w:rPr>
        <w:t>19</w:t>
      </w:r>
      <w:r>
        <w:rPr>
          <w:rStyle w:val="23"/>
          <w:rFonts w:hint="eastAsia" w:ascii="宋体" w:hAnsi="宋体" w:eastAsia="宋体" w:cs="宋体"/>
          <w:color w:val="auto"/>
          <w:sz w:val="24"/>
          <w:szCs w:val="24"/>
          <w:highlight w:val="none"/>
        </w:rPr>
        <w:t>.专利权及知识产权</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color w:val="auto"/>
          <w:sz w:val="24"/>
          <w:szCs w:val="24"/>
          <w:highlight w:val="none"/>
          <w:lang w:val="zh-TW"/>
        </w:rPr>
      </w:pPr>
      <w:r>
        <w:rPr>
          <w:rFonts w:hint="eastAsia" w:ascii="宋体" w:hAnsi="宋体" w:eastAsia="宋体" w:cs="宋体"/>
          <w:color w:val="auto"/>
          <w:sz w:val="24"/>
          <w:szCs w:val="24"/>
          <w:highlight w:val="none"/>
          <w:lang w:val="zh-TW"/>
        </w:rPr>
        <w:t>成交供应商须保障采购人在使用该货物或其任何一部分时不受到第三方关于侵犯专利权、商标权或工业设计权等知识产权的指控。如果任何第三方提出侵权指控与采购人无关，</w:t>
      </w:r>
      <w:r>
        <w:rPr>
          <w:rFonts w:hint="eastAsia" w:ascii="宋体" w:hAnsi="宋体" w:eastAsia="宋体" w:cs="宋体"/>
          <w:color w:val="auto"/>
          <w:sz w:val="24"/>
          <w:szCs w:val="24"/>
          <w:highlight w:val="none"/>
        </w:rPr>
        <w:t>成交供应商</w:t>
      </w:r>
      <w:r>
        <w:rPr>
          <w:rFonts w:hint="eastAsia" w:ascii="宋体" w:hAnsi="宋体" w:eastAsia="宋体" w:cs="宋体"/>
          <w:color w:val="auto"/>
          <w:sz w:val="24"/>
          <w:szCs w:val="24"/>
          <w:highlight w:val="none"/>
          <w:lang w:val="zh-TW"/>
        </w:rPr>
        <w:t>须与第三方交涉并承担可能发生的责任与一切费用。如采购人因此而遭致损失的，</w:t>
      </w:r>
      <w:r>
        <w:rPr>
          <w:rFonts w:hint="eastAsia" w:ascii="宋体" w:hAnsi="宋体" w:eastAsia="宋体" w:cs="宋体"/>
          <w:color w:val="auto"/>
          <w:sz w:val="24"/>
          <w:szCs w:val="24"/>
          <w:highlight w:val="none"/>
        </w:rPr>
        <w:t>成交供应商</w:t>
      </w:r>
      <w:r>
        <w:rPr>
          <w:rFonts w:hint="eastAsia" w:ascii="宋体" w:hAnsi="宋体" w:eastAsia="宋体" w:cs="宋体"/>
          <w:color w:val="auto"/>
          <w:sz w:val="24"/>
          <w:szCs w:val="24"/>
          <w:highlight w:val="none"/>
          <w:lang w:val="zh-TW"/>
        </w:rPr>
        <w:t>应赔偿该损失。</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2</w:t>
      </w:r>
      <w:r>
        <w:rPr>
          <w:rFonts w:hint="eastAsia" w:cs="宋体"/>
          <w:b/>
          <w:bCs/>
          <w:color w:val="auto"/>
          <w:sz w:val="24"/>
          <w:szCs w:val="24"/>
          <w:highlight w:val="none"/>
          <w:lang w:val="en-US" w:eastAsia="zh-CN"/>
        </w:rPr>
        <w:t>0</w:t>
      </w:r>
      <w:r>
        <w:rPr>
          <w:rFonts w:hint="eastAsia" w:ascii="宋体" w:hAnsi="宋体" w:eastAsia="宋体" w:cs="宋体"/>
          <w:b/>
          <w:bCs/>
          <w:color w:val="auto"/>
          <w:sz w:val="24"/>
          <w:szCs w:val="24"/>
          <w:highlight w:val="none"/>
          <w:lang w:val="en-US" w:eastAsia="zh-CN"/>
        </w:rPr>
        <w:t>.</w:t>
      </w:r>
      <w:r>
        <w:rPr>
          <w:rFonts w:hint="eastAsia" w:ascii="宋体" w:hAnsi="宋体" w:eastAsia="宋体" w:cs="宋体"/>
          <w:b/>
          <w:bCs/>
          <w:color w:val="auto"/>
          <w:sz w:val="24"/>
          <w:szCs w:val="24"/>
          <w:highlight w:val="none"/>
          <w:lang w:val="zh-TW"/>
        </w:rPr>
        <w:t>合同纠纷处理方式</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color w:val="auto"/>
          <w:sz w:val="24"/>
          <w:szCs w:val="24"/>
          <w:highlight w:val="none"/>
          <w:lang w:val="zh-TW"/>
        </w:rPr>
      </w:pPr>
      <w:r>
        <w:rPr>
          <w:rFonts w:hint="eastAsia" w:ascii="宋体" w:hAnsi="宋体" w:eastAsia="宋体" w:cs="宋体"/>
          <w:color w:val="auto"/>
          <w:sz w:val="24"/>
          <w:szCs w:val="24"/>
          <w:highlight w:val="none"/>
        </w:rPr>
        <w:t>（1）采购人及成交供应商</w:t>
      </w:r>
      <w:r>
        <w:rPr>
          <w:rFonts w:hint="eastAsia" w:ascii="宋体" w:hAnsi="宋体" w:eastAsia="宋体" w:cs="宋体"/>
          <w:color w:val="auto"/>
          <w:sz w:val="24"/>
          <w:szCs w:val="24"/>
          <w:highlight w:val="none"/>
          <w:lang w:val="zh-TW"/>
        </w:rPr>
        <w:t>双方必须认真履行合同条款。因本合同或与本合同有关的一切事项发生争议，由双方友好协商解决，协商不成的，任何一方均可向采购人所在地人民法院提起诉讼。</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1"/>
        <w:rPr>
          <w:rFonts w:hint="eastAsia" w:ascii="宋体" w:hAnsi="宋体" w:eastAsia="宋体" w:cs="宋体"/>
          <w:color w:val="auto"/>
          <w:sz w:val="24"/>
          <w:szCs w:val="24"/>
          <w:highlight w:val="none"/>
          <w:lang w:val="zh-TW"/>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zh-TW"/>
        </w:rPr>
        <w:t>合同补充和修改：本合同生效后，双方对合同内容的变更或补充应采取书面形式，并经双方签字并盖章确认。</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cs="宋体"/>
          <w:b/>
          <w:bCs w:val="0"/>
          <w:color w:val="auto"/>
          <w:sz w:val="24"/>
          <w:szCs w:val="24"/>
          <w:lang w:val="en-US" w:eastAsia="zh-CN"/>
        </w:rPr>
        <w:t>21、</w:t>
      </w:r>
      <w:r>
        <w:rPr>
          <w:rFonts w:hint="eastAsia" w:ascii="宋体" w:hAnsi="宋体" w:eastAsia="宋体" w:cs="宋体"/>
          <w:b/>
          <w:bCs w:val="0"/>
          <w:color w:val="auto"/>
          <w:sz w:val="24"/>
          <w:szCs w:val="24"/>
        </w:rPr>
        <w:t>其他事项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2</w:t>
      </w: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.1</w:t>
      </w:r>
      <w:r>
        <w:rPr>
          <w:rFonts w:hint="eastAsia" w:ascii="宋体" w:hAnsi="宋体" w:eastAsia="宋体" w:cs="宋体"/>
          <w:bCs/>
          <w:color w:val="auto"/>
          <w:sz w:val="24"/>
          <w:szCs w:val="24"/>
        </w:rPr>
        <w:t>除</w:t>
      </w:r>
      <w:r>
        <w:rPr>
          <w:rFonts w:hint="eastAsia" w:ascii="宋体" w:hAnsi="宋体" w:eastAsia="宋体" w:cs="宋体"/>
          <w:bCs/>
          <w:color w:val="auto"/>
          <w:sz w:val="24"/>
          <w:szCs w:val="24"/>
          <w:lang w:eastAsia="zh-CN"/>
        </w:rPr>
        <w:t>竞价文件</w:t>
      </w:r>
      <w:r>
        <w:rPr>
          <w:rFonts w:hint="eastAsia" w:ascii="宋体" w:hAnsi="宋体" w:eastAsia="宋体" w:cs="宋体"/>
          <w:bCs/>
          <w:color w:val="auto"/>
          <w:sz w:val="24"/>
          <w:szCs w:val="24"/>
        </w:rPr>
        <w:t>另有规定外，若出现有关法律、法规和规章有强制性规定但</w:t>
      </w:r>
      <w:r>
        <w:rPr>
          <w:rFonts w:hint="eastAsia" w:ascii="宋体" w:hAnsi="宋体" w:eastAsia="宋体" w:cs="宋体"/>
          <w:bCs/>
          <w:color w:val="auto"/>
          <w:sz w:val="24"/>
          <w:szCs w:val="24"/>
          <w:lang w:eastAsia="zh-CN"/>
        </w:rPr>
        <w:t>竞价文件</w:t>
      </w:r>
      <w:r>
        <w:rPr>
          <w:rFonts w:hint="eastAsia" w:ascii="宋体" w:hAnsi="宋体" w:eastAsia="宋体" w:cs="宋体"/>
          <w:bCs/>
          <w:color w:val="auto"/>
          <w:sz w:val="24"/>
          <w:szCs w:val="24"/>
        </w:rPr>
        <w:t>未列明的情形，则</w:t>
      </w:r>
      <w:r>
        <w:rPr>
          <w:rFonts w:hint="eastAsia" w:ascii="宋体" w:hAnsi="宋体" w:eastAsia="宋体" w:cs="宋体"/>
          <w:bCs/>
          <w:color w:val="auto"/>
          <w:sz w:val="24"/>
          <w:szCs w:val="24"/>
          <w:lang w:eastAsia="zh-CN"/>
        </w:rPr>
        <w:t>供应商</w:t>
      </w:r>
      <w:r>
        <w:rPr>
          <w:rFonts w:hint="eastAsia" w:ascii="宋体" w:hAnsi="宋体" w:eastAsia="宋体" w:cs="宋体"/>
          <w:bCs/>
          <w:color w:val="auto"/>
          <w:sz w:val="24"/>
          <w:szCs w:val="24"/>
        </w:rPr>
        <w:t>应按照有关法律、法规和规章强制性规定执行。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21.2</w:t>
      </w:r>
      <w:r>
        <w:rPr>
          <w:rFonts w:hint="eastAsia" w:ascii="宋体" w:hAnsi="宋体" w:eastAsia="宋体" w:cs="宋体"/>
          <w:bCs/>
          <w:color w:val="auto"/>
          <w:sz w:val="24"/>
          <w:szCs w:val="24"/>
        </w:rPr>
        <w:t>其他：</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21.2.1</w:t>
      </w:r>
      <w:r>
        <w:rPr>
          <w:rFonts w:hint="eastAsia" w:ascii="宋体" w:hAnsi="宋体" w:eastAsia="宋体" w:cs="宋体"/>
          <w:bCs/>
          <w:color w:val="auto"/>
          <w:sz w:val="24"/>
          <w:szCs w:val="24"/>
        </w:rPr>
        <w:t>本协议在履行过程中发生的未尽事宜另行协商解决，相关补充协议与其具有同等法律效力。</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21.2.2</w:t>
      </w:r>
      <w:r>
        <w:rPr>
          <w:rFonts w:hint="eastAsia" w:ascii="宋体" w:hAnsi="宋体" w:eastAsia="宋体" w:cs="宋体"/>
          <w:bCs/>
          <w:color w:val="auto"/>
          <w:sz w:val="24"/>
          <w:szCs w:val="24"/>
        </w:rPr>
        <w:t>本次招标的货物，</w:t>
      </w:r>
      <w:r>
        <w:rPr>
          <w:rFonts w:hint="eastAsia" w:ascii="宋体" w:hAnsi="宋体" w:eastAsia="宋体" w:cs="宋体"/>
          <w:bCs/>
          <w:color w:val="auto"/>
          <w:sz w:val="24"/>
          <w:szCs w:val="24"/>
          <w:lang w:eastAsia="zh-CN"/>
        </w:rPr>
        <w:t>供应商</w:t>
      </w:r>
      <w:r>
        <w:rPr>
          <w:rFonts w:hint="eastAsia" w:ascii="宋体" w:hAnsi="宋体" w:eastAsia="宋体" w:cs="宋体"/>
          <w:bCs/>
          <w:color w:val="auto"/>
          <w:sz w:val="24"/>
          <w:szCs w:val="24"/>
        </w:rPr>
        <w:t>须保证提供的所有货物必须是未经拆封、原厂正规合格、品质优良的产品、技术资料齐全。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21.2.3</w:t>
      </w:r>
      <w:r>
        <w:rPr>
          <w:rFonts w:hint="eastAsia" w:ascii="宋体" w:hAnsi="宋体" w:eastAsia="宋体" w:cs="宋体"/>
          <w:bCs/>
          <w:color w:val="auto"/>
          <w:sz w:val="24"/>
          <w:szCs w:val="24"/>
          <w:lang w:eastAsia="zh-CN"/>
        </w:rPr>
        <w:t>供应商</w:t>
      </w:r>
      <w:r>
        <w:rPr>
          <w:rFonts w:hint="eastAsia" w:ascii="宋体" w:hAnsi="宋体" w:eastAsia="宋体" w:cs="宋体"/>
          <w:bCs/>
          <w:color w:val="auto"/>
          <w:sz w:val="24"/>
          <w:szCs w:val="24"/>
        </w:rPr>
        <w:t>必须保证采购人在使用其中标货物过程的任何时候不受到第三方提出侵犯其知识产权（专利权、商标权、工业设计权及使用权）的纠纷，否则，由此产生的任何责任完全由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21.2.4</w:t>
      </w:r>
      <w:r>
        <w:rPr>
          <w:rFonts w:hint="eastAsia" w:ascii="宋体" w:hAnsi="宋体" w:eastAsia="宋体" w:cs="宋体"/>
          <w:bCs/>
          <w:color w:val="auto"/>
          <w:sz w:val="24"/>
          <w:szCs w:val="24"/>
        </w:rPr>
        <w:t>本项目如遇采购人上级部门政策调整或认为本项目不宜继续开展，采购有权终止本项目进程（包括采购流程，签订合同等）,双方互不负任何违约责任。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21.2.5</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负责整个场地的安全文明卫生管理，做到文明施工、保持施工场地清洁。在施工期间，承包人应随时保持现场整洁，施工装备和材料、设备应妥善存放和贮存，废料、垃圾和不再需要的临时设施应从现场清除、拆除并运走。在工程施工过程中，自行采取有效措施保障地下管线及周边建筑物、道路不开裂、不损坏，做好恢复原状等相关工作，否则造成的一切责任及费用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自行承担。</w:t>
      </w:r>
    </w:p>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（以下无正文）</w:t>
      </w:r>
    </w:p>
    <w:p>
      <w:pPr>
        <w:spacing w:line="360" w:lineRule="auto"/>
        <w:ind w:firstLine="480" w:firstLineChars="200"/>
        <w:rPr>
          <w:rFonts w:hint="eastAsia" w:ascii="宋体" w:hAnsi="宋体" w:cs="宋体"/>
          <w:color w:val="auto"/>
          <w:sz w:val="24"/>
          <w:highlight w:val="none"/>
        </w:rPr>
      </w:pP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甲    方：                            乙    方：</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单位地址：                            单位地址：</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单位负责人：                          单位负责人：</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委托代理人：                          委托代理人：</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    话：                            电    话：</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开户银行：                            开户银行：</w:t>
      </w:r>
    </w:p>
    <w:p>
      <w:pPr>
        <w:pStyle w:val="17"/>
        <w:spacing w:line="360" w:lineRule="auto"/>
        <w:ind w:firstLine="480" w:firstLineChars="200"/>
        <w:jc w:val="both"/>
        <w:rPr>
          <w:rFonts w:ascii="宋体" w:hAnsi="宋体" w:cs="宋体"/>
          <w:color w:val="auto"/>
          <w:sz w:val="36"/>
          <w:szCs w:val="36"/>
          <w:highlight w:val="none"/>
        </w:rPr>
      </w:pPr>
      <w:bookmarkStart w:id="8" w:name="_Toc30271"/>
      <w:r>
        <w:rPr>
          <w:rFonts w:hint="eastAsia" w:ascii="宋体" w:hAnsi="宋体" w:cs="宋体"/>
          <w:b w:val="0"/>
          <w:bCs w:val="0"/>
          <w:color w:val="auto"/>
          <w:sz w:val="24"/>
          <w:szCs w:val="24"/>
          <w:highlight w:val="none"/>
        </w:rPr>
        <w:t>账    号：                            账    号：</w:t>
      </w:r>
      <w:bookmarkEnd w:id="8"/>
    </w:p>
    <w:p>
      <w:pPr>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pPr>
        <w:pStyle w:val="6"/>
        <w:spacing w:line="360" w:lineRule="auto"/>
        <w:rPr>
          <w:rFonts w:ascii="宋体" w:hAnsi="宋体" w:cs="宋体"/>
          <w:b/>
          <w:color w:val="auto"/>
          <w:kern w:val="0"/>
          <w:sz w:val="24"/>
          <w:highlight w:val="none"/>
        </w:rPr>
      </w:pPr>
    </w:p>
    <w:p>
      <w:pPr>
        <w:adjustRightInd w:val="0"/>
        <w:snapToGrid w:val="0"/>
        <w:spacing w:line="360" w:lineRule="auto"/>
        <w:rPr>
          <w:rFonts w:ascii="宋体" w:hAnsi="宋体" w:cs="宋体"/>
          <w:color w:val="auto"/>
          <w:sz w:val="24"/>
          <w:highlight w:val="none"/>
        </w:rPr>
      </w:pPr>
    </w:p>
    <w:p>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pPr>
        <w:spacing w:line="360" w:lineRule="auto"/>
        <w:rPr>
          <w:color w:val="auto"/>
          <w:highlight w:val="none"/>
        </w:rPr>
      </w:pPr>
    </w:p>
    <w:p>
      <w:pPr>
        <w:pStyle w:val="3"/>
        <w:spacing w:line="360" w:lineRule="auto"/>
        <w:rPr>
          <w:color w:val="auto"/>
          <w:highlight w:val="none"/>
        </w:rPr>
      </w:pPr>
    </w:p>
    <w:p>
      <w:pPr>
        <w:spacing w:line="360" w:lineRule="auto"/>
        <w:rPr>
          <w:color w:val="auto"/>
          <w:highlight w:val="none"/>
        </w:rPr>
      </w:pPr>
    </w:p>
    <w:p>
      <w:pPr>
        <w:pStyle w:val="3"/>
        <w:spacing w:line="360" w:lineRule="auto"/>
        <w:rPr>
          <w:color w:val="auto"/>
          <w:highlight w:val="none"/>
        </w:rPr>
      </w:pPr>
    </w:p>
    <w:p>
      <w:pPr>
        <w:spacing w:line="360" w:lineRule="auto"/>
        <w:rPr>
          <w:color w:val="auto"/>
          <w:highlight w:val="none"/>
        </w:rPr>
      </w:pPr>
    </w:p>
    <w:p>
      <w:pPr>
        <w:pStyle w:val="4"/>
        <w:spacing w:line="360" w:lineRule="auto"/>
        <w:rPr>
          <w:rFonts w:hint="default"/>
          <w:color w:val="auto"/>
          <w:highlight w:val="none"/>
        </w:rPr>
      </w:pPr>
    </w:p>
    <w:p>
      <w:pPr>
        <w:spacing w:line="360" w:lineRule="auto"/>
        <w:rPr>
          <w:color w:val="auto"/>
          <w:highlight w:val="none"/>
        </w:rPr>
      </w:pPr>
    </w:p>
    <w:p>
      <w:pPr>
        <w:pStyle w:val="4"/>
        <w:spacing w:line="360" w:lineRule="auto"/>
        <w:rPr>
          <w:rFonts w:hint="default"/>
          <w:color w:val="auto"/>
          <w:highlight w:val="none"/>
        </w:rPr>
      </w:pPr>
    </w:p>
    <w:p>
      <w:pPr>
        <w:spacing w:line="360" w:lineRule="auto"/>
        <w:rPr>
          <w:color w:val="auto"/>
          <w:highlight w:val="none"/>
        </w:rPr>
      </w:pPr>
    </w:p>
    <w:p>
      <w:pPr>
        <w:pStyle w:val="4"/>
        <w:spacing w:line="360" w:lineRule="auto"/>
        <w:rPr>
          <w:rFonts w:hint="default"/>
          <w:color w:val="auto"/>
          <w:highlight w:val="none"/>
        </w:rPr>
      </w:pPr>
    </w:p>
    <w:p>
      <w:pPr>
        <w:spacing w:line="360" w:lineRule="auto"/>
        <w:rPr>
          <w:color w:val="auto"/>
          <w:highlight w:val="none"/>
        </w:rPr>
      </w:pPr>
    </w:p>
    <w:p>
      <w:pPr>
        <w:spacing w:line="360" w:lineRule="auto"/>
        <w:rPr>
          <w:color w:val="auto"/>
          <w:highlight w:val="none"/>
        </w:rPr>
      </w:pPr>
    </w:p>
    <w:p>
      <w:pPr>
        <w:pStyle w:val="18"/>
        <w:spacing w:line="360" w:lineRule="auto"/>
        <w:ind w:firstLine="210"/>
        <w:rPr>
          <w:color w:val="auto"/>
          <w:highlight w:val="none"/>
        </w:rPr>
      </w:pPr>
    </w:p>
    <w:p>
      <w:pPr>
        <w:pStyle w:val="5"/>
        <w:spacing w:line="360" w:lineRule="auto"/>
        <w:rPr>
          <w:color w:val="auto"/>
          <w:highlight w:val="none"/>
        </w:rPr>
      </w:pPr>
    </w:p>
    <w:p>
      <w:pPr>
        <w:pStyle w:val="8"/>
        <w:spacing w:line="360" w:lineRule="auto"/>
        <w:rPr>
          <w:color w:val="auto"/>
          <w:highlight w:val="none"/>
        </w:rPr>
      </w:pPr>
    </w:p>
    <w:p>
      <w:pPr>
        <w:pStyle w:val="5"/>
        <w:spacing w:line="360" w:lineRule="auto"/>
        <w:rPr>
          <w:color w:val="auto"/>
          <w:highlight w:val="none"/>
        </w:rPr>
      </w:pPr>
    </w:p>
    <w:p>
      <w:pPr>
        <w:spacing w:line="360" w:lineRule="auto"/>
        <w:jc w:val="center"/>
        <w:rPr>
          <w:rFonts w:ascii="黑体" w:hAnsi="黑体" w:eastAsia="黑体"/>
          <w:color w:val="auto"/>
          <w:sz w:val="96"/>
          <w:szCs w:val="96"/>
          <w:highlight w:val="none"/>
        </w:rPr>
      </w:pPr>
    </w:p>
    <w:p>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pPr>
        <w:pStyle w:val="26"/>
        <w:spacing w:after="120" w:line="360" w:lineRule="auto"/>
        <w:outlineLvl w:val="9"/>
        <w:rPr>
          <w:rStyle w:val="27"/>
          <w:rFonts w:hAnsi="宋体" w:cs="宋体"/>
          <w:b/>
          <w:bCs/>
          <w:color w:val="auto"/>
          <w:sz w:val="44"/>
          <w:szCs w:val="44"/>
          <w:highlight w:val="none"/>
        </w:rPr>
      </w:pPr>
    </w:p>
    <w:p>
      <w:pPr>
        <w:pStyle w:val="26"/>
        <w:spacing w:after="120" w:line="360" w:lineRule="auto"/>
        <w:jc w:val="center"/>
        <w:outlineLvl w:val="9"/>
        <w:rPr>
          <w:rStyle w:val="27"/>
          <w:rFonts w:hAnsi="宋体" w:cs="宋体"/>
          <w:b/>
          <w:bCs/>
          <w:color w:val="auto"/>
          <w:sz w:val="44"/>
          <w:szCs w:val="44"/>
          <w:highlight w:val="none"/>
        </w:rPr>
      </w:pPr>
      <w:r>
        <w:rPr>
          <w:rStyle w:val="27"/>
          <w:rFonts w:hint="eastAsia" w:hAnsi="宋体" w:cs="宋体"/>
          <w:b/>
          <w:bCs/>
          <w:color w:val="auto"/>
          <w:sz w:val="44"/>
          <w:szCs w:val="44"/>
          <w:highlight w:val="none"/>
        </w:rPr>
        <w:t>（第一部分  资格及技术商务部分）</w:t>
      </w:r>
    </w:p>
    <w:p>
      <w:pPr>
        <w:spacing w:line="360" w:lineRule="auto"/>
        <w:ind w:firstLine="1920" w:firstLineChars="200"/>
        <w:jc w:val="left"/>
        <w:rPr>
          <w:color w:val="auto"/>
          <w:sz w:val="96"/>
          <w:szCs w:val="96"/>
          <w:highlight w:val="none"/>
        </w:rPr>
      </w:pPr>
    </w:p>
    <w:p>
      <w:pPr>
        <w:spacing w:line="360" w:lineRule="auto"/>
        <w:ind w:firstLine="1920" w:firstLineChars="200"/>
        <w:jc w:val="left"/>
        <w:rPr>
          <w:color w:val="auto"/>
          <w:sz w:val="96"/>
          <w:szCs w:val="96"/>
          <w:highlight w:val="none"/>
        </w:rPr>
      </w:pPr>
    </w:p>
    <w:p>
      <w:pPr>
        <w:pStyle w:val="10"/>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p>
    <w:p>
      <w:pPr>
        <w:pStyle w:val="10"/>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p>
    <w:p>
      <w:pPr>
        <w:pStyle w:val="10"/>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p>
    <w:p>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p>
    <w:p>
      <w:pPr>
        <w:spacing w:line="360" w:lineRule="auto"/>
        <w:ind w:firstLine="148" w:firstLineChars="49"/>
        <w:rPr>
          <w:rFonts w:ascii="宋体" w:hAnsi="宋体" w:cs="宋体"/>
          <w:b/>
          <w:color w:val="auto"/>
          <w:sz w:val="30"/>
          <w:highlight w:val="none"/>
        </w:rPr>
      </w:pPr>
      <w:r>
        <w:rPr>
          <w:rFonts w:hint="eastAsia" w:ascii="宋体" w:hAnsi="宋体" w:cs="宋体"/>
          <w:b/>
          <w:color w:val="auto"/>
          <w:sz w:val="30"/>
          <w:highlight w:val="none"/>
        </w:rPr>
        <w:t xml:space="preserve">    地址：</w:t>
      </w:r>
    </w:p>
    <w:p>
      <w:pPr>
        <w:pStyle w:val="3"/>
        <w:spacing w:line="360" w:lineRule="auto"/>
        <w:rPr>
          <w:color w:val="auto"/>
          <w:highlight w:val="none"/>
        </w:rPr>
      </w:pPr>
    </w:p>
    <w:p>
      <w:pPr>
        <w:rPr>
          <w:rFonts w:hint="eastAsia" w:hAnsi="宋体" w:cs="宋体"/>
          <w:b/>
          <w:color w:val="auto"/>
          <w:sz w:val="36"/>
          <w:highlight w:val="none"/>
        </w:rPr>
      </w:pPr>
      <w:r>
        <w:rPr>
          <w:rFonts w:hint="eastAsia" w:hAnsi="宋体" w:cs="宋体"/>
          <w:b/>
          <w:color w:val="auto"/>
          <w:sz w:val="36"/>
          <w:highlight w:val="none"/>
        </w:rPr>
        <w:br w:type="page"/>
      </w:r>
    </w:p>
    <w:p>
      <w:pPr>
        <w:pStyle w:val="26"/>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pPr>
        <w:pStyle w:val="26"/>
        <w:spacing w:after="120" w:line="360" w:lineRule="auto"/>
        <w:outlineLvl w:val="9"/>
        <w:rPr>
          <w:rFonts w:hAnsi="宋体" w:cs="宋体"/>
          <w:b/>
          <w:color w:val="auto"/>
          <w:sz w:val="36"/>
          <w:highlight w:val="none"/>
        </w:rPr>
      </w:pPr>
    </w:p>
    <w:p>
      <w:pPr>
        <w:pStyle w:val="26"/>
        <w:spacing w:line="360" w:lineRule="auto"/>
        <w:rPr>
          <w:rFonts w:hAnsi="宋体" w:cs="宋体"/>
          <w:bCs/>
          <w:color w:val="auto"/>
          <w:sz w:val="24"/>
          <w:highlight w:val="none"/>
        </w:rPr>
      </w:pPr>
      <w:r>
        <w:rPr>
          <w:rFonts w:hint="eastAsia" w:hAnsi="宋体" w:cs="宋体"/>
          <w:bCs/>
          <w:color w:val="auto"/>
          <w:sz w:val="24"/>
          <w:highlight w:val="none"/>
        </w:rPr>
        <w:t>1、网上竞价承诺书</w:t>
      </w:r>
    </w:p>
    <w:p>
      <w:pPr>
        <w:pStyle w:val="26"/>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pPr>
        <w:pStyle w:val="26"/>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pPr>
        <w:pStyle w:val="26"/>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pPr>
        <w:pStyle w:val="26"/>
        <w:spacing w:line="360" w:lineRule="auto"/>
        <w:outlineLvl w:val="9"/>
        <w:rPr>
          <w:rFonts w:hAnsi="宋体" w:cs="宋体"/>
          <w:bCs/>
          <w:color w:val="auto"/>
          <w:sz w:val="24"/>
          <w:highlight w:val="none"/>
        </w:rPr>
      </w:pPr>
    </w:p>
    <w:p>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pPr>
        <w:widowControl/>
        <w:shd w:val="clear"/>
        <w:spacing w:line="360" w:lineRule="auto"/>
        <w:rPr>
          <w:rFonts w:ascii="宋体" w:hAnsi="宋体" w:cs="宋体"/>
          <w:b/>
          <w:color w:val="auto"/>
          <w:kern w:val="0"/>
          <w:sz w:val="28"/>
          <w:szCs w:val="28"/>
          <w:highlight w:val="none"/>
          <w:shd w:val="clear" w:color="auto" w:fill="FFFFFF"/>
        </w:rPr>
      </w:pPr>
    </w:p>
    <w:p>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0"/>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0"/>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六、我公司承诺不存在“单位负责人为同一人或者存在直接控股、管理关系的不同供应商，同时参加同一合同包项下的网上竞价活动”的情形。</w:t>
      </w:r>
    </w:p>
    <w:p>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0"/>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0"/>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pPr>
        <w:widowControl/>
        <w:shd w:val="clear"/>
        <w:spacing w:line="360" w:lineRule="auto"/>
        <w:jc w:val="left"/>
        <w:rPr>
          <w:rFonts w:ascii="宋体" w:hAnsi="宋体" w:cs="宋体"/>
          <w:color w:val="auto"/>
          <w:kern w:val="0"/>
          <w:sz w:val="24"/>
          <w:highlight w:val="none"/>
          <w:shd w:val="clear" w:color="auto" w:fill="FFFFFF"/>
        </w:rPr>
      </w:pPr>
    </w:p>
    <w:p>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0"/>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0"/>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0"/>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0"/>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pPr>
        <w:spacing w:line="360" w:lineRule="auto"/>
        <w:rPr>
          <w:rFonts w:ascii="宋体" w:hAnsi="宋体" w:cs="宋体"/>
          <w:color w:val="auto"/>
          <w:sz w:val="24"/>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pPr>
        <w:pStyle w:val="26"/>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pPr>
        <w:pStyle w:val="26"/>
        <w:spacing w:line="360" w:lineRule="auto"/>
        <w:jc w:val="center"/>
        <w:outlineLvl w:val="9"/>
        <w:rPr>
          <w:rFonts w:hAnsi="宋体" w:cs="宋体"/>
          <w:b/>
          <w:color w:val="auto"/>
          <w:szCs w:val="28"/>
          <w:highlight w:val="none"/>
        </w:rPr>
      </w:pPr>
    </w:p>
    <w:p>
      <w:pPr>
        <w:spacing w:line="360" w:lineRule="auto"/>
        <w:rPr>
          <w:color w:val="auto"/>
          <w:highlight w:val="none"/>
        </w:rPr>
      </w:pPr>
    </w:p>
    <w:p>
      <w:pPr>
        <w:spacing w:line="360" w:lineRule="auto"/>
        <w:rPr>
          <w:color w:val="auto"/>
          <w:highlight w:val="none"/>
        </w:rPr>
      </w:pPr>
    </w:p>
    <w:p>
      <w:pPr>
        <w:spacing w:line="360" w:lineRule="auto"/>
        <w:rPr>
          <w:color w:val="auto"/>
          <w:highlight w:val="none"/>
        </w:rPr>
      </w:pPr>
    </w:p>
    <w:p>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pPr>
        <w:pStyle w:val="26"/>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pPr>
        <w:pStyle w:val="15"/>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pPr>
        <w:pStyle w:val="15"/>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pPr>
        <w:pStyle w:val="15"/>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pPr>
        <w:pStyle w:val="15"/>
        <w:spacing w:before="0" w:beforeAutospacing="0" w:after="0" w:afterAutospacing="0" w:line="360" w:lineRule="auto"/>
        <w:jc w:val="center"/>
        <w:outlineLvl w:val="0"/>
        <w:rPr>
          <w:color w:val="auto"/>
          <w:highlight w:val="none"/>
        </w:rPr>
      </w:pPr>
      <w:r>
        <w:rPr>
          <w:rFonts w:hint="eastAsia"/>
          <w:color w:val="auto"/>
          <w:highlight w:val="none"/>
        </w:rPr>
        <w:t>（以下无正文）</w:t>
      </w:r>
    </w:p>
    <w:p>
      <w:pPr>
        <w:pStyle w:val="15"/>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pPr>
        <w:pStyle w:val="15"/>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pPr>
        <w:pStyle w:val="15"/>
        <w:spacing w:before="0" w:beforeAutospacing="0" w:after="0" w:afterAutospacing="0" w:line="360" w:lineRule="auto"/>
        <w:rPr>
          <w:color w:val="auto"/>
          <w:highlight w:val="none"/>
        </w:rPr>
      </w:pPr>
      <w:r>
        <w:rPr>
          <w:rFonts w:hint="eastAsia"/>
          <w:color w:val="auto"/>
          <w:highlight w:val="none"/>
        </w:rPr>
        <w:t> </w:t>
      </w:r>
    </w:p>
    <w:p>
      <w:pPr>
        <w:pStyle w:val="15"/>
        <w:spacing w:before="0" w:beforeAutospacing="0" w:after="0" w:afterAutospacing="0" w:line="360" w:lineRule="auto"/>
        <w:rPr>
          <w:color w:val="auto"/>
          <w:highlight w:val="none"/>
        </w:rPr>
      </w:pPr>
      <w:r>
        <w:rPr>
          <w:rFonts w:hint="eastAsia"/>
          <w:color w:val="auto"/>
          <w:highlight w:val="none"/>
        </w:rPr>
        <w:t>授权方</w:t>
      </w:r>
    </w:p>
    <w:p>
      <w:pPr>
        <w:pStyle w:val="15"/>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pPr>
        <w:pStyle w:val="15"/>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pPr>
        <w:pStyle w:val="15"/>
        <w:spacing w:before="0" w:beforeAutospacing="0" w:after="0" w:afterAutospacing="0" w:line="360" w:lineRule="auto"/>
        <w:rPr>
          <w:color w:val="auto"/>
          <w:highlight w:val="none"/>
        </w:rPr>
      </w:pPr>
      <w:r>
        <w:rPr>
          <w:rFonts w:hint="eastAsia"/>
          <w:color w:val="auto"/>
          <w:highlight w:val="none"/>
        </w:rPr>
        <w:t> </w:t>
      </w:r>
    </w:p>
    <w:p>
      <w:pPr>
        <w:pStyle w:val="15"/>
        <w:spacing w:before="0" w:beforeAutospacing="0" w:after="0" w:afterAutospacing="0" w:line="360" w:lineRule="auto"/>
        <w:rPr>
          <w:color w:val="auto"/>
          <w:highlight w:val="none"/>
        </w:rPr>
      </w:pPr>
      <w:r>
        <w:rPr>
          <w:rFonts w:hint="eastAsia"/>
          <w:color w:val="auto"/>
          <w:highlight w:val="none"/>
        </w:rPr>
        <w:t>接受授权方</w:t>
      </w:r>
    </w:p>
    <w:p>
      <w:pPr>
        <w:pStyle w:val="15"/>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pPr>
        <w:pStyle w:val="15"/>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pPr>
        <w:pStyle w:val="15"/>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0"/>
        <w:tblW w:w="5000" w:type="pct"/>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94" w:type="dxa"/>
            <w:tcMar>
              <w:top w:w="0" w:type="dxa"/>
              <w:left w:w="84" w:type="dxa"/>
              <w:bottom w:w="0" w:type="dxa"/>
              <w:right w:w="84" w:type="dxa"/>
            </w:tcMar>
            <w:vAlign w:val="center"/>
          </w:tcPr>
          <w:p>
            <w:pPr>
              <w:pStyle w:val="15"/>
              <w:spacing w:before="0" w:beforeAutospacing="0" w:after="0" w:afterAutospacing="0" w:line="360" w:lineRule="auto"/>
              <w:jc w:val="center"/>
              <w:rPr>
                <w:color w:val="auto"/>
                <w:highlight w:val="none"/>
              </w:rPr>
            </w:pPr>
            <w:r>
              <w:rPr>
                <w:rStyle w:val="23"/>
                <w:rFonts w:hint="eastAsia"/>
                <w:color w:val="auto"/>
                <w:highlight w:val="none"/>
              </w:rPr>
              <w:t> </w:t>
            </w:r>
          </w:p>
          <w:p>
            <w:pPr>
              <w:pStyle w:val="15"/>
              <w:spacing w:before="0" w:beforeAutospacing="0" w:after="0" w:afterAutospacing="0" w:line="360" w:lineRule="auto"/>
              <w:jc w:val="center"/>
              <w:rPr>
                <w:color w:val="auto"/>
                <w:highlight w:val="none"/>
              </w:rPr>
            </w:pPr>
            <w:r>
              <w:rPr>
                <w:rStyle w:val="23"/>
                <w:rFonts w:hint="eastAsia"/>
                <w:color w:val="auto"/>
                <w:highlight w:val="none"/>
              </w:rPr>
              <w:t>要求：真实有效且内容完整、清晰、整洁。</w:t>
            </w:r>
          </w:p>
          <w:p>
            <w:pPr>
              <w:pStyle w:val="15"/>
              <w:spacing w:before="0" w:beforeAutospacing="0" w:after="0" w:afterAutospacing="0" w:line="360" w:lineRule="auto"/>
              <w:jc w:val="center"/>
              <w:rPr>
                <w:color w:val="auto"/>
                <w:highlight w:val="none"/>
              </w:rPr>
            </w:pPr>
            <w:r>
              <w:rPr>
                <w:rStyle w:val="23"/>
                <w:rFonts w:hint="eastAsia"/>
                <w:color w:val="auto"/>
                <w:highlight w:val="none"/>
              </w:rPr>
              <w:t> </w:t>
            </w:r>
          </w:p>
        </w:tc>
      </w:tr>
    </w:tbl>
    <w:p>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outlineLvl w:val="2"/>
        <w:rPr>
          <w:rFonts w:ascii="宋体" w:hAnsi="宋体"/>
          <w:b/>
          <w:color w:val="auto"/>
          <w:sz w:val="32"/>
          <w:szCs w:val="22"/>
          <w:highlight w:val="none"/>
        </w:rPr>
      </w:pPr>
    </w:p>
    <w:p>
      <w:pPr>
        <w:pStyle w:val="4"/>
        <w:spacing w:line="360" w:lineRule="auto"/>
        <w:rPr>
          <w:rFonts w:hint="default" w:ascii="Times New Roman" w:hAnsi="Times New Roman"/>
          <w:color w:val="auto"/>
          <w:highlight w:val="none"/>
        </w:rPr>
      </w:pPr>
    </w:p>
    <w:p>
      <w:pPr>
        <w:spacing w:line="360" w:lineRule="auto"/>
        <w:rPr>
          <w:rFonts w:ascii="Times New Roman" w:hAnsi="Times New Roman"/>
          <w:b/>
          <w:color w:val="auto"/>
          <w:sz w:val="32"/>
          <w:highlight w:val="none"/>
        </w:rPr>
      </w:pPr>
    </w:p>
    <w:p>
      <w:pPr>
        <w:pStyle w:val="4"/>
        <w:spacing w:line="360" w:lineRule="auto"/>
        <w:rPr>
          <w:rFonts w:hint="default" w:ascii="Times New Roman" w:hAnsi="Times New Roman"/>
          <w:color w:val="auto"/>
          <w:highlight w:val="none"/>
        </w:rPr>
      </w:pPr>
    </w:p>
    <w:p>
      <w:pPr>
        <w:spacing w:line="360" w:lineRule="auto"/>
        <w:rPr>
          <w:rFonts w:ascii="Times New Roman" w:hAnsi="Times New Roman"/>
          <w:b/>
          <w:color w:val="auto"/>
          <w:sz w:val="32"/>
          <w:highlight w:val="none"/>
        </w:rPr>
      </w:pPr>
    </w:p>
    <w:p>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5.供应商需提供的其他材料</w:t>
      </w:r>
    </w:p>
    <w:p>
      <w:pPr>
        <w:pStyle w:val="31"/>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pPr>
        <w:pStyle w:val="31"/>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0"/>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3345"/>
        <w:gridCol w:w="1885"/>
        <w:gridCol w:w="946"/>
        <w:gridCol w:w="166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pPr>
              <w:pStyle w:val="31"/>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lang w:eastAsia="zh-CN"/>
              </w:rPr>
              <w:t>合同</w:t>
            </w:r>
            <w:r>
              <w:rPr>
                <w:rFonts w:ascii="宋体" w:hAnsi="宋体" w:cs="宋体"/>
                <w:color w:val="auto"/>
                <w:sz w:val="24"/>
                <w:szCs w:val="24"/>
                <w:highlight w:val="none"/>
              </w:rPr>
              <w:t>包</w:t>
            </w:r>
          </w:p>
        </w:tc>
        <w:tc>
          <w:tcPr>
            <w:tcW w:w="1155" w:type="dxa"/>
            <w:vAlign w:val="center"/>
          </w:tcPr>
          <w:p>
            <w:pPr>
              <w:pStyle w:val="31"/>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3345" w:type="dxa"/>
            <w:vAlign w:val="center"/>
          </w:tcPr>
          <w:p>
            <w:pPr>
              <w:pStyle w:val="31"/>
              <w:spacing w:line="360" w:lineRule="auto"/>
              <w:jc w:val="center"/>
              <w:rPr>
                <w:rFonts w:hint="default" w:ascii="宋体" w:hAnsi="宋体" w:cs="宋体"/>
                <w:color w:val="auto"/>
                <w:sz w:val="24"/>
                <w:szCs w:val="24"/>
                <w:highlight w:val="none"/>
                <w:lang w:eastAsia="zh-CN"/>
              </w:rPr>
            </w:pPr>
            <w:r>
              <w:rPr>
                <w:rFonts w:ascii="宋体" w:hAnsi="宋体" w:eastAsia="宋体" w:cs="宋体"/>
                <w:color w:val="auto"/>
                <w:sz w:val="24"/>
                <w:szCs w:val="24"/>
                <w:lang w:eastAsia="zh-CN"/>
              </w:rPr>
              <w:t>货物名称/服务名称/工程名称</w:t>
            </w:r>
          </w:p>
        </w:tc>
        <w:tc>
          <w:tcPr>
            <w:tcW w:w="1885" w:type="dxa"/>
            <w:vAlign w:val="center"/>
          </w:tcPr>
          <w:p>
            <w:pPr>
              <w:pStyle w:val="31"/>
              <w:spacing w:line="360" w:lineRule="auto"/>
              <w:jc w:val="center"/>
              <w:rPr>
                <w:rFonts w:hint="eastAsia" w:ascii="宋体" w:hAnsi="宋体" w:eastAsia="宋体" w:cs="宋体"/>
                <w:color w:val="auto"/>
                <w:sz w:val="24"/>
                <w:szCs w:val="24"/>
                <w:highlight w:val="none"/>
                <w:lang w:eastAsia="zh-CN"/>
              </w:rPr>
            </w:pP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p>
        </w:tc>
        <w:tc>
          <w:tcPr>
            <w:tcW w:w="946" w:type="dxa"/>
            <w:vAlign w:val="center"/>
          </w:tcPr>
          <w:p>
            <w:pPr>
              <w:pStyle w:val="31"/>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62" w:type="dxa"/>
            <w:vAlign w:val="center"/>
          </w:tcPr>
          <w:p>
            <w:pPr>
              <w:pStyle w:val="31"/>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pPr>
              <w:pStyle w:val="31"/>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1155" w:type="dxa"/>
            <w:vAlign w:val="center"/>
          </w:tcPr>
          <w:p>
            <w:pPr>
              <w:pStyle w:val="31"/>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*-1</w:t>
            </w:r>
          </w:p>
        </w:tc>
        <w:tc>
          <w:tcPr>
            <w:tcW w:w="3345" w:type="dxa"/>
            <w:vAlign w:val="center"/>
          </w:tcPr>
          <w:p>
            <w:pPr>
              <w:spacing w:line="360" w:lineRule="auto"/>
              <w:jc w:val="center"/>
              <w:rPr>
                <w:rFonts w:ascii="宋体" w:hAnsi="宋体" w:cs="宋体"/>
                <w:color w:val="auto"/>
                <w:sz w:val="24"/>
                <w:highlight w:val="none"/>
              </w:rPr>
            </w:pPr>
          </w:p>
        </w:tc>
        <w:tc>
          <w:tcPr>
            <w:tcW w:w="1885" w:type="dxa"/>
            <w:vAlign w:val="center"/>
          </w:tcPr>
          <w:p>
            <w:pPr>
              <w:spacing w:line="360" w:lineRule="auto"/>
              <w:jc w:val="center"/>
              <w:rPr>
                <w:rFonts w:ascii="宋体" w:hAnsi="宋体" w:cs="宋体"/>
                <w:color w:val="auto"/>
                <w:sz w:val="24"/>
                <w:highlight w:val="none"/>
              </w:rPr>
            </w:pPr>
          </w:p>
        </w:tc>
        <w:tc>
          <w:tcPr>
            <w:tcW w:w="946" w:type="dxa"/>
            <w:vAlign w:val="center"/>
          </w:tcPr>
          <w:p>
            <w:pPr>
              <w:spacing w:line="360" w:lineRule="auto"/>
              <w:jc w:val="center"/>
              <w:rPr>
                <w:rFonts w:ascii="宋体" w:hAnsi="宋体" w:cs="宋体"/>
                <w:color w:val="auto"/>
                <w:sz w:val="24"/>
                <w:highlight w:val="none"/>
              </w:rPr>
            </w:pPr>
          </w:p>
        </w:tc>
        <w:tc>
          <w:tcPr>
            <w:tcW w:w="1662" w:type="dxa"/>
            <w:vAlign w:val="center"/>
          </w:tcPr>
          <w:p>
            <w:pPr>
              <w:spacing w:line="360" w:lineRule="auto"/>
              <w:jc w:val="center"/>
              <w:rPr>
                <w:rFonts w:ascii="宋体" w:hAnsi="宋体" w:cs="宋体"/>
                <w:color w:val="auto"/>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pPr>
              <w:spacing w:line="360" w:lineRule="auto"/>
              <w:jc w:val="center"/>
              <w:rPr>
                <w:rFonts w:ascii="宋体" w:hAnsi="宋体" w:cs="宋体"/>
                <w:color w:val="auto"/>
                <w:sz w:val="24"/>
                <w:highlight w:val="none"/>
              </w:rPr>
            </w:pPr>
          </w:p>
        </w:tc>
        <w:tc>
          <w:tcPr>
            <w:tcW w:w="1155" w:type="dxa"/>
            <w:vAlign w:val="center"/>
          </w:tcPr>
          <w:p>
            <w:pPr>
              <w:pStyle w:val="31"/>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3345" w:type="dxa"/>
            <w:vAlign w:val="center"/>
          </w:tcPr>
          <w:p>
            <w:pPr>
              <w:spacing w:line="360" w:lineRule="auto"/>
              <w:jc w:val="center"/>
              <w:rPr>
                <w:rFonts w:ascii="宋体" w:hAnsi="宋体" w:cs="宋体"/>
                <w:color w:val="auto"/>
                <w:sz w:val="24"/>
                <w:highlight w:val="none"/>
              </w:rPr>
            </w:pPr>
          </w:p>
        </w:tc>
        <w:tc>
          <w:tcPr>
            <w:tcW w:w="1885" w:type="dxa"/>
            <w:vAlign w:val="center"/>
          </w:tcPr>
          <w:p>
            <w:pPr>
              <w:spacing w:line="360" w:lineRule="auto"/>
              <w:jc w:val="center"/>
              <w:rPr>
                <w:rFonts w:ascii="宋体" w:hAnsi="宋体" w:cs="宋体"/>
                <w:color w:val="auto"/>
                <w:sz w:val="24"/>
                <w:highlight w:val="none"/>
              </w:rPr>
            </w:pPr>
          </w:p>
        </w:tc>
        <w:tc>
          <w:tcPr>
            <w:tcW w:w="946" w:type="dxa"/>
            <w:vAlign w:val="center"/>
          </w:tcPr>
          <w:p>
            <w:pPr>
              <w:spacing w:line="360" w:lineRule="auto"/>
              <w:jc w:val="center"/>
              <w:rPr>
                <w:rFonts w:ascii="宋体" w:hAnsi="宋体" w:cs="宋体"/>
                <w:color w:val="auto"/>
                <w:sz w:val="24"/>
                <w:highlight w:val="none"/>
              </w:rPr>
            </w:pPr>
          </w:p>
        </w:tc>
        <w:tc>
          <w:tcPr>
            <w:tcW w:w="1662" w:type="dxa"/>
            <w:vAlign w:val="center"/>
          </w:tcPr>
          <w:p>
            <w:pPr>
              <w:spacing w:line="360" w:lineRule="auto"/>
              <w:jc w:val="center"/>
              <w:rPr>
                <w:rFonts w:ascii="宋体" w:hAnsi="宋体" w:cs="宋体"/>
                <w:color w:val="auto"/>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pPr>
              <w:pStyle w:val="31"/>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1155" w:type="dxa"/>
            <w:vAlign w:val="center"/>
          </w:tcPr>
          <w:p>
            <w:pPr>
              <w:spacing w:line="360" w:lineRule="auto"/>
              <w:jc w:val="center"/>
              <w:rPr>
                <w:rFonts w:ascii="宋体" w:hAnsi="宋体" w:cs="宋体"/>
                <w:color w:val="auto"/>
                <w:sz w:val="24"/>
                <w:highlight w:val="none"/>
              </w:rPr>
            </w:pPr>
          </w:p>
        </w:tc>
        <w:tc>
          <w:tcPr>
            <w:tcW w:w="3345" w:type="dxa"/>
            <w:vAlign w:val="center"/>
          </w:tcPr>
          <w:p>
            <w:pPr>
              <w:spacing w:line="360" w:lineRule="auto"/>
              <w:jc w:val="center"/>
              <w:rPr>
                <w:rFonts w:ascii="宋体" w:hAnsi="宋体" w:cs="宋体"/>
                <w:color w:val="auto"/>
                <w:sz w:val="24"/>
                <w:highlight w:val="none"/>
              </w:rPr>
            </w:pPr>
          </w:p>
        </w:tc>
        <w:tc>
          <w:tcPr>
            <w:tcW w:w="1885" w:type="dxa"/>
            <w:vAlign w:val="center"/>
          </w:tcPr>
          <w:p>
            <w:pPr>
              <w:spacing w:line="360" w:lineRule="auto"/>
              <w:jc w:val="center"/>
              <w:rPr>
                <w:rFonts w:ascii="宋体" w:hAnsi="宋体" w:cs="宋体"/>
                <w:color w:val="auto"/>
                <w:sz w:val="24"/>
                <w:highlight w:val="none"/>
              </w:rPr>
            </w:pPr>
          </w:p>
        </w:tc>
        <w:tc>
          <w:tcPr>
            <w:tcW w:w="946" w:type="dxa"/>
            <w:vAlign w:val="center"/>
          </w:tcPr>
          <w:p>
            <w:pPr>
              <w:spacing w:line="360" w:lineRule="auto"/>
              <w:jc w:val="center"/>
              <w:rPr>
                <w:rFonts w:ascii="宋体" w:hAnsi="宋体" w:cs="宋体"/>
                <w:color w:val="auto"/>
                <w:sz w:val="24"/>
                <w:highlight w:val="none"/>
              </w:rPr>
            </w:pPr>
          </w:p>
        </w:tc>
        <w:tc>
          <w:tcPr>
            <w:tcW w:w="1662" w:type="dxa"/>
            <w:vAlign w:val="center"/>
          </w:tcPr>
          <w:p>
            <w:pPr>
              <w:spacing w:line="360" w:lineRule="auto"/>
              <w:jc w:val="center"/>
              <w:rPr>
                <w:rFonts w:ascii="宋体" w:hAnsi="宋体" w:cs="宋体"/>
                <w:color w:val="auto"/>
                <w:sz w:val="24"/>
                <w:highlight w:val="none"/>
              </w:rPr>
            </w:pPr>
          </w:p>
        </w:tc>
      </w:tr>
    </w:tbl>
    <w:p>
      <w:pPr>
        <w:pStyle w:val="31"/>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pPr>
        <w:pStyle w:val="31"/>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pPr>
        <w:pStyle w:val="31"/>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pPr>
        <w:pStyle w:val="31"/>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1.2货物</w:t>
      </w:r>
      <w:r>
        <w:rPr>
          <w:rFonts w:ascii="宋体" w:hAnsi="宋体" w:eastAsia="宋体" w:cs="宋体"/>
          <w:color w:val="auto"/>
          <w:sz w:val="24"/>
          <w:szCs w:val="24"/>
          <w:lang w:eastAsia="zh-CN"/>
        </w:rPr>
        <w:t>类项目</w:t>
      </w:r>
      <w:r>
        <w:rPr>
          <w:rFonts w:ascii="宋体" w:hAnsi="宋体" w:eastAsia="宋体" w:cs="宋体"/>
          <w:color w:val="auto"/>
          <w:sz w:val="24"/>
          <w:szCs w:val="24"/>
        </w:rPr>
        <w:t>：“规格”项下应填写货物制造厂商赋予的品牌（属于节能、环保清单产品的货物，填写的品牌名称应与清单载明的品牌名称保持一致）及具体型号。“来源地”应填写货物的原产地。</w:t>
      </w:r>
    </w:p>
    <w:p>
      <w:pPr>
        <w:pStyle w:val="31"/>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1.3服务</w:t>
      </w:r>
      <w:r>
        <w:rPr>
          <w:rFonts w:ascii="宋体" w:hAnsi="宋体" w:eastAsia="宋体" w:cs="宋体"/>
          <w:color w:val="auto"/>
          <w:sz w:val="24"/>
          <w:szCs w:val="24"/>
          <w:lang w:eastAsia="zh-CN"/>
        </w:rPr>
        <w:t>类项目</w:t>
      </w:r>
      <w:r>
        <w:rPr>
          <w:rFonts w:ascii="宋体" w:hAnsi="宋体" w:eastAsia="宋体" w:cs="宋体"/>
          <w:color w:val="auto"/>
          <w:sz w:val="24"/>
          <w:szCs w:val="24"/>
        </w:rPr>
        <w:t>：“规格”项下应填写服务提供者提供的服务标准及品牌（若有）。“来源地”应填写服务提供者的所在地。</w:t>
      </w:r>
    </w:p>
    <w:p>
      <w:pPr>
        <w:pStyle w:val="31"/>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pPr>
        <w:pStyle w:val="31"/>
        <w:spacing w:line="360" w:lineRule="auto"/>
        <w:ind w:firstLine="480"/>
        <w:jc w:val="right"/>
        <w:rPr>
          <w:rFonts w:hint="default" w:ascii="宋体" w:hAnsi="宋体" w:cs="宋体"/>
          <w:color w:val="auto"/>
          <w:sz w:val="24"/>
          <w:szCs w:val="24"/>
          <w:highlight w:val="none"/>
        </w:rPr>
      </w:pPr>
    </w:p>
    <w:p>
      <w:pPr>
        <w:pStyle w:val="31"/>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pPr>
        <w:pStyle w:val="31"/>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pPr>
        <w:pStyle w:val="31"/>
        <w:spacing w:line="360" w:lineRule="auto"/>
        <w:jc w:val="both"/>
        <w:rPr>
          <w:rFonts w:hint="default" w:ascii="宋体" w:hAnsi="宋体" w:cs="宋体"/>
          <w:color w:val="auto"/>
          <w:sz w:val="24"/>
          <w:szCs w:val="24"/>
          <w:highlight w:val="none"/>
        </w:rPr>
      </w:pPr>
    </w:p>
    <w:p>
      <w:pPr>
        <w:pStyle w:val="31"/>
        <w:spacing w:line="360" w:lineRule="auto"/>
        <w:jc w:val="both"/>
        <w:rPr>
          <w:rFonts w:hint="default" w:ascii="宋体" w:hAnsi="宋体" w:cs="宋体"/>
          <w:color w:val="auto"/>
          <w:sz w:val="24"/>
          <w:szCs w:val="24"/>
          <w:highlight w:val="none"/>
        </w:rPr>
      </w:pPr>
    </w:p>
    <w:p>
      <w:pPr>
        <w:pStyle w:val="31"/>
        <w:spacing w:line="360" w:lineRule="auto"/>
        <w:jc w:val="both"/>
        <w:rPr>
          <w:rFonts w:hint="default" w:ascii="宋体" w:hAnsi="宋体" w:cs="宋体"/>
          <w:color w:val="auto"/>
          <w:sz w:val="24"/>
          <w:szCs w:val="24"/>
          <w:highlight w:val="none"/>
        </w:rPr>
      </w:pPr>
    </w:p>
    <w:p>
      <w:pPr>
        <w:pStyle w:val="31"/>
        <w:spacing w:line="360" w:lineRule="auto"/>
        <w:jc w:val="both"/>
        <w:rPr>
          <w:rFonts w:hint="default" w:ascii="宋体" w:hAnsi="宋体" w:cs="宋体"/>
          <w:color w:val="auto"/>
          <w:sz w:val="24"/>
          <w:szCs w:val="24"/>
          <w:highlight w:val="none"/>
        </w:rPr>
      </w:pPr>
    </w:p>
    <w:p>
      <w:pPr>
        <w:pStyle w:val="8"/>
        <w:spacing w:line="360" w:lineRule="auto"/>
        <w:ind w:left="0" w:leftChars="0"/>
        <w:rPr>
          <w:rFonts w:ascii="宋体" w:hAnsi="宋体" w:cs="宋体"/>
          <w:color w:val="auto"/>
          <w:sz w:val="24"/>
          <w:highlight w:val="none"/>
        </w:rPr>
      </w:pPr>
    </w:p>
    <w:p>
      <w:pPr>
        <w:pStyle w:val="9"/>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pPr>
        <w:pStyle w:val="15"/>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0"/>
        <w:tblW w:w="4996" w:type="pct"/>
        <w:tblInd w:w="0" w:type="dxa"/>
        <w:tblLayout w:type="fixed"/>
        <w:tblCellMar>
          <w:top w:w="0" w:type="dxa"/>
          <w:left w:w="0" w:type="dxa"/>
          <w:bottom w:w="0" w:type="dxa"/>
          <w:right w:w="0" w:type="dxa"/>
        </w:tblCellMar>
      </w:tblPr>
      <w:tblGrid>
        <w:gridCol w:w="960"/>
        <w:gridCol w:w="3642"/>
        <w:gridCol w:w="3334"/>
        <w:gridCol w:w="2042"/>
      </w:tblGrid>
      <w:tr>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color w:val="auto"/>
                <w:highlight w:val="none"/>
              </w:rPr>
            </w:pPr>
            <w:r>
              <w:rPr>
                <w:rFonts w:hint="eastAsia"/>
                <w:color w:val="auto"/>
                <w:highlight w:val="none"/>
              </w:rPr>
              <w:t>合同包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color w:val="auto"/>
                <w:highlight w:val="none"/>
              </w:rPr>
            </w:pPr>
          </w:p>
        </w:tc>
      </w:tr>
      <w:tr>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color w:val="auto"/>
                <w:highlight w:val="none"/>
              </w:rPr>
            </w:pPr>
          </w:p>
        </w:tc>
      </w:tr>
      <w:tr>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color w:val="auto"/>
                <w:highlight w:val="none"/>
              </w:rPr>
            </w:pPr>
          </w:p>
        </w:tc>
      </w:tr>
    </w:tbl>
    <w:p>
      <w:pPr>
        <w:pStyle w:val="15"/>
        <w:spacing w:before="0" w:beforeAutospacing="0" w:after="0" w:afterAutospacing="0" w:line="360" w:lineRule="auto"/>
        <w:rPr>
          <w:b/>
          <w:bCs/>
          <w:color w:val="auto"/>
          <w:highlight w:val="none"/>
        </w:rPr>
      </w:pPr>
      <w:r>
        <w:rPr>
          <w:rFonts w:hint="eastAsia"/>
          <w:b/>
          <w:bCs/>
          <w:color w:val="auto"/>
          <w:highlight w:val="none"/>
        </w:rPr>
        <w:t>注：</w:t>
      </w:r>
    </w:p>
    <w:p>
      <w:pPr>
        <w:pStyle w:val="15"/>
        <w:numPr>
          <w:ilvl w:val="0"/>
          <w:numId w:val="1"/>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pPr>
        <w:pStyle w:val="31"/>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pPr>
        <w:pStyle w:val="8"/>
        <w:spacing w:line="360" w:lineRule="auto"/>
        <w:ind w:left="0" w:leftChars="0"/>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pPr>
        <w:pStyle w:val="8"/>
        <w:spacing w:line="360" w:lineRule="auto"/>
        <w:ind w:left="0" w:leftChars="0"/>
        <w:rPr>
          <w:rFonts w:ascii="宋体" w:hAnsi="宋体" w:cs="宋体"/>
          <w:b/>
          <w:bCs/>
          <w:color w:val="auto"/>
          <w:sz w:val="28"/>
          <w:szCs w:val="28"/>
          <w:highlight w:val="none"/>
        </w:rPr>
      </w:pPr>
    </w:p>
    <w:p>
      <w:pPr>
        <w:pStyle w:val="9"/>
        <w:spacing w:line="360" w:lineRule="auto"/>
        <w:rPr>
          <w:rFonts w:ascii="宋体" w:hAnsi="宋体" w:cs="宋体"/>
          <w:b/>
          <w:bCs/>
          <w:color w:val="auto"/>
          <w:sz w:val="28"/>
          <w:szCs w:val="28"/>
          <w:highlight w:val="none"/>
        </w:rPr>
      </w:pPr>
    </w:p>
    <w:p>
      <w:pPr>
        <w:pStyle w:val="9"/>
        <w:spacing w:line="360" w:lineRule="auto"/>
        <w:rPr>
          <w:rFonts w:ascii="宋体" w:hAnsi="宋体" w:cs="宋体"/>
          <w:b/>
          <w:bCs/>
          <w:color w:val="auto"/>
          <w:sz w:val="28"/>
          <w:szCs w:val="28"/>
          <w:highlight w:val="none"/>
        </w:rPr>
      </w:pPr>
    </w:p>
    <w:p>
      <w:pPr>
        <w:pStyle w:val="8"/>
        <w:spacing w:line="360" w:lineRule="auto"/>
        <w:ind w:left="0" w:leftChars="0"/>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pPr>
        <w:pStyle w:val="9"/>
        <w:spacing w:line="360" w:lineRule="auto"/>
        <w:rPr>
          <w:rFonts w:ascii="宋体" w:hAnsi="宋体" w:cs="宋体"/>
          <w:b/>
          <w:bCs/>
          <w:color w:val="auto"/>
          <w:sz w:val="28"/>
          <w:szCs w:val="28"/>
          <w:highlight w:val="none"/>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pPr>
        <w:pStyle w:val="31"/>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pPr>
        <w:pStyle w:val="9"/>
        <w:spacing w:line="360" w:lineRule="auto"/>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pPr>
        <w:pStyle w:val="9"/>
        <w:spacing w:line="360" w:lineRule="auto"/>
        <w:rPr>
          <w:rFonts w:ascii="宋体" w:hAnsi="宋体" w:cs="宋体"/>
          <w:b/>
          <w:bCs/>
          <w:color w:val="auto"/>
          <w:sz w:val="28"/>
          <w:szCs w:val="28"/>
          <w:highlight w:val="none"/>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pPr>
        <w:pStyle w:val="31"/>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pPr>
        <w:pStyle w:val="9"/>
        <w:spacing w:line="360" w:lineRule="auto"/>
        <w:rPr>
          <w:rFonts w:ascii="宋体" w:hAnsi="宋体" w:cs="宋体"/>
          <w:b/>
          <w:bCs/>
          <w:color w:val="auto"/>
          <w:sz w:val="28"/>
          <w:szCs w:val="28"/>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pPr>
        <w:pStyle w:val="5"/>
        <w:spacing w:line="360" w:lineRule="auto"/>
        <w:rPr>
          <w:rFonts w:ascii="楷体_GB2312" w:eastAsia="楷体_GB2312"/>
          <w:b/>
          <w:color w:val="auto"/>
          <w:sz w:val="40"/>
          <w:szCs w:val="40"/>
          <w:highlight w:val="none"/>
        </w:rPr>
      </w:pPr>
    </w:p>
    <w:p>
      <w:pPr>
        <w:pStyle w:val="8"/>
        <w:spacing w:line="360" w:lineRule="auto"/>
        <w:rPr>
          <w:rFonts w:ascii="楷体_GB2312" w:eastAsia="楷体_GB2312"/>
          <w:b/>
          <w:color w:val="auto"/>
          <w:sz w:val="40"/>
          <w:szCs w:val="40"/>
          <w:highlight w:val="none"/>
        </w:rPr>
      </w:pPr>
    </w:p>
    <w:p>
      <w:pPr>
        <w:pStyle w:val="5"/>
        <w:spacing w:line="360" w:lineRule="auto"/>
        <w:rPr>
          <w:rFonts w:ascii="楷体_GB2312" w:eastAsia="楷体_GB2312"/>
          <w:b/>
          <w:color w:val="auto"/>
          <w:sz w:val="40"/>
          <w:szCs w:val="40"/>
          <w:highlight w:val="none"/>
        </w:rPr>
      </w:pP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pPr>
        <w:pStyle w:val="9"/>
        <w:spacing w:line="360" w:lineRule="auto"/>
        <w:rPr>
          <w:rFonts w:ascii="宋体" w:hAnsi="宋体" w:cs="宋体"/>
          <w:b/>
          <w:bCs/>
          <w:color w:val="auto"/>
          <w:sz w:val="28"/>
          <w:szCs w:val="28"/>
          <w:highlight w:val="none"/>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pPr>
        <w:pStyle w:val="31"/>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pPr>
        <w:pStyle w:val="8"/>
        <w:spacing w:line="360" w:lineRule="auto"/>
        <w:rPr>
          <w:rFonts w:ascii="楷体_GB2312" w:eastAsia="楷体_GB2312"/>
          <w:b/>
          <w:color w:val="auto"/>
          <w:sz w:val="44"/>
          <w:szCs w:val="44"/>
          <w:highlight w:val="none"/>
        </w:rPr>
      </w:pPr>
    </w:p>
    <w:p>
      <w:pPr>
        <w:pStyle w:val="5"/>
        <w:spacing w:line="360" w:lineRule="auto"/>
        <w:rPr>
          <w:rFonts w:ascii="楷体_GB2312" w:eastAsia="楷体_GB2312"/>
          <w:b/>
          <w:color w:val="auto"/>
          <w:sz w:val="44"/>
          <w:szCs w:val="44"/>
          <w:highlight w:val="none"/>
        </w:rPr>
      </w:pPr>
    </w:p>
    <w:p>
      <w:pPr>
        <w:pStyle w:val="8"/>
        <w:spacing w:line="360" w:lineRule="auto"/>
        <w:rPr>
          <w:rFonts w:ascii="楷体_GB2312" w:eastAsia="楷体_GB2312"/>
          <w:b/>
          <w:color w:val="auto"/>
          <w:sz w:val="44"/>
          <w:szCs w:val="44"/>
          <w:highlight w:val="none"/>
        </w:rPr>
      </w:pPr>
    </w:p>
    <w:p>
      <w:pPr>
        <w:pStyle w:val="5"/>
        <w:spacing w:line="360" w:lineRule="auto"/>
        <w:rPr>
          <w:rFonts w:ascii="楷体_GB2312" w:eastAsia="楷体_GB2312"/>
          <w:b/>
          <w:color w:val="auto"/>
          <w:sz w:val="44"/>
          <w:szCs w:val="44"/>
          <w:highlight w:val="none"/>
        </w:rPr>
      </w:pPr>
    </w:p>
    <w:p>
      <w:pPr>
        <w:pStyle w:val="8"/>
        <w:spacing w:line="360" w:lineRule="auto"/>
        <w:rPr>
          <w:rFonts w:ascii="楷体_GB2312" w:eastAsia="楷体_GB2312"/>
          <w:b/>
          <w:color w:val="auto"/>
          <w:sz w:val="44"/>
          <w:szCs w:val="44"/>
          <w:highlight w:val="none"/>
        </w:rPr>
      </w:pPr>
    </w:p>
    <w:p>
      <w:pPr>
        <w:pStyle w:val="5"/>
        <w:spacing w:line="360" w:lineRule="auto"/>
        <w:rPr>
          <w:color w:val="auto"/>
          <w:highlight w:val="none"/>
        </w:rPr>
      </w:pPr>
    </w:p>
    <w:p>
      <w:pPr>
        <w:pStyle w:val="8"/>
        <w:spacing w:line="360" w:lineRule="auto"/>
        <w:rPr>
          <w:rFonts w:ascii="楷体_GB2312" w:eastAsia="楷体_GB2312"/>
          <w:b/>
          <w:color w:val="auto"/>
          <w:sz w:val="44"/>
          <w:szCs w:val="44"/>
          <w:highlight w:val="none"/>
        </w:rPr>
      </w:pPr>
    </w:p>
    <w:p>
      <w:pPr>
        <w:pStyle w:val="5"/>
        <w:spacing w:line="360" w:lineRule="auto"/>
        <w:rPr>
          <w:rFonts w:ascii="楷体_GB2312" w:eastAsia="楷体_GB2312"/>
          <w:b/>
          <w:color w:val="auto"/>
          <w:sz w:val="44"/>
          <w:szCs w:val="44"/>
          <w:highlight w:val="none"/>
        </w:rPr>
      </w:pPr>
    </w:p>
    <w:p>
      <w:pPr>
        <w:pStyle w:val="8"/>
        <w:spacing w:line="360" w:lineRule="auto"/>
        <w:rPr>
          <w:rFonts w:ascii="楷体_GB2312" w:eastAsia="楷体_GB2312"/>
          <w:b/>
          <w:color w:val="auto"/>
          <w:sz w:val="44"/>
          <w:szCs w:val="44"/>
          <w:highlight w:val="none"/>
        </w:rPr>
      </w:pPr>
    </w:p>
    <w:p>
      <w:pPr>
        <w:pStyle w:val="5"/>
        <w:spacing w:line="360" w:lineRule="auto"/>
        <w:rPr>
          <w:rFonts w:ascii="楷体_GB2312" w:eastAsia="楷体_GB2312"/>
          <w:b/>
          <w:color w:val="auto"/>
          <w:sz w:val="44"/>
          <w:szCs w:val="44"/>
          <w:highlight w:val="none"/>
        </w:rPr>
      </w:pPr>
    </w:p>
    <w:p>
      <w:pPr>
        <w:pStyle w:val="9"/>
        <w:spacing w:line="360" w:lineRule="auto"/>
        <w:rPr>
          <w:rFonts w:ascii="楷体_GB2312" w:eastAsia="楷体_GB2312"/>
          <w:b/>
          <w:color w:val="auto"/>
          <w:sz w:val="44"/>
          <w:szCs w:val="44"/>
          <w:highlight w:val="none"/>
        </w:rPr>
      </w:pPr>
    </w:p>
    <w:p>
      <w:pPr>
        <w:pStyle w:val="9"/>
        <w:spacing w:line="360" w:lineRule="auto"/>
        <w:rPr>
          <w:rFonts w:ascii="楷体_GB2312" w:eastAsia="楷体_GB2312"/>
          <w:b/>
          <w:color w:val="auto"/>
          <w:sz w:val="44"/>
          <w:szCs w:val="44"/>
          <w:highlight w:val="none"/>
        </w:rPr>
      </w:pPr>
    </w:p>
    <w:p>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pPr>
        <w:pStyle w:val="26"/>
        <w:spacing w:after="120" w:line="360" w:lineRule="auto"/>
        <w:outlineLvl w:val="9"/>
        <w:rPr>
          <w:rStyle w:val="27"/>
          <w:rFonts w:hAnsi="宋体" w:cs="宋体"/>
          <w:b/>
          <w:bCs/>
          <w:color w:val="auto"/>
          <w:sz w:val="44"/>
          <w:szCs w:val="44"/>
          <w:highlight w:val="none"/>
        </w:rPr>
      </w:pPr>
    </w:p>
    <w:p>
      <w:pPr>
        <w:pStyle w:val="26"/>
        <w:spacing w:after="120" w:line="360" w:lineRule="auto"/>
        <w:jc w:val="center"/>
        <w:outlineLvl w:val="9"/>
        <w:rPr>
          <w:rStyle w:val="27"/>
          <w:rFonts w:hAnsi="宋体" w:cs="宋体"/>
          <w:b/>
          <w:bCs/>
          <w:color w:val="auto"/>
          <w:sz w:val="44"/>
          <w:szCs w:val="44"/>
          <w:highlight w:val="none"/>
        </w:rPr>
      </w:pPr>
      <w:r>
        <w:rPr>
          <w:rStyle w:val="27"/>
          <w:rFonts w:hint="eastAsia" w:hAnsi="宋体" w:cs="宋体"/>
          <w:b/>
          <w:bCs/>
          <w:color w:val="auto"/>
          <w:sz w:val="44"/>
          <w:szCs w:val="44"/>
          <w:highlight w:val="none"/>
        </w:rPr>
        <w:t>（第二部分  报价部分）</w:t>
      </w:r>
    </w:p>
    <w:p>
      <w:pPr>
        <w:spacing w:line="360" w:lineRule="auto"/>
        <w:ind w:firstLine="1920" w:firstLineChars="200"/>
        <w:jc w:val="left"/>
        <w:rPr>
          <w:color w:val="auto"/>
          <w:sz w:val="96"/>
          <w:szCs w:val="96"/>
          <w:highlight w:val="none"/>
        </w:rPr>
      </w:pPr>
    </w:p>
    <w:p>
      <w:pPr>
        <w:spacing w:line="360" w:lineRule="auto"/>
        <w:ind w:firstLine="1920" w:firstLineChars="200"/>
        <w:jc w:val="left"/>
        <w:rPr>
          <w:color w:val="auto"/>
          <w:sz w:val="96"/>
          <w:szCs w:val="96"/>
          <w:highlight w:val="none"/>
        </w:rPr>
      </w:pPr>
    </w:p>
    <w:p>
      <w:pPr>
        <w:pStyle w:val="3"/>
        <w:spacing w:line="360" w:lineRule="auto"/>
        <w:rPr>
          <w:color w:val="auto"/>
          <w:highlight w:val="none"/>
        </w:rPr>
      </w:pPr>
    </w:p>
    <w:p>
      <w:pPr>
        <w:spacing w:line="360" w:lineRule="auto"/>
        <w:ind w:firstLine="1920" w:firstLineChars="200"/>
        <w:jc w:val="left"/>
        <w:rPr>
          <w:color w:val="auto"/>
          <w:sz w:val="96"/>
          <w:szCs w:val="96"/>
          <w:highlight w:val="none"/>
        </w:rPr>
      </w:pPr>
    </w:p>
    <w:p>
      <w:pPr>
        <w:pStyle w:val="10"/>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p>
    <w:p>
      <w:pPr>
        <w:pStyle w:val="10"/>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p>
    <w:p>
      <w:pPr>
        <w:pStyle w:val="10"/>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p>
    <w:p>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p>
    <w:p>
      <w:pPr>
        <w:spacing w:line="360" w:lineRule="auto"/>
        <w:ind w:firstLine="148" w:firstLineChars="49"/>
        <w:rPr>
          <w:color w:val="auto"/>
          <w:highlight w:val="none"/>
        </w:rPr>
      </w:pPr>
      <w:r>
        <w:rPr>
          <w:rFonts w:hint="eastAsia" w:ascii="宋体" w:hAnsi="宋体" w:cs="宋体"/>
          <w:b/>
          <w:color w:val="auto"/>
          <w:sz w:val="30"/>
          <w:highlight w:val="none"/>
        </w:rPr>
        <w:t xml:space="preserve">    地址：</w:t>
      </w:r>
    </w:p>
    <w:p>
      <w:pPr>
        <w:spacing w:line="360" w:lineRule="auto"/>
        <w:rPr>
          <w:color w:val="auto"/>
          <w:highlight w:val="none"/>
        </w:rPr>
      </w:pPr>
    </w:p>
    <w:p>
      <w:pPr>
        <w:pStyle w:val="9"/>
        <w:spacing w:line="360" w:lineRule="auto"/>
        <w:rPr>
          <w:color w:val="auto"/>
          <w:highlight w:val="none"/>
        </w:rPr>
      </w:pPr>
    </w:p>
    <w:p>
      <w:pPr>
        <w:pStyle w:val="4"/>
        <w:keepNext w:val="0"/>
        <w:keepLines w:val="0"/>
        <w:spacing w:line="360" w:lineRule="auto"/>
        <w:rPr>
          <w:rFonts w:hint="default"/>
          <w:color w:val="auto"/>
          <w:highlight w:val="none"/>
        </w:rPr>
      </w:pPr>
      <w:r>
        <w:rPr>
          <w:color w:val="auto"/>
          <w:highlight w:val="none"/>
        </w:rPr>
        <w:t>1、报价一览表</w:t>
      </w:r>
    </w:p>
    <w:p>
      <w:pPr>
        <w:pStyle w:val="3"/>
        <w:spacing w:line="360" w:lineRule="auto"/>
        <w:rPr>
          <w:color w:val="auto"/>
          <w:sz w:val="24"/>
          <w:szCs w:val="24"/>
          <w:highlight w:val="none"/>
        </w:rPr>
      </w:pPr>
      <w:r>
        <w:rPr>
          <w:rFonts w:hint="eastAsia"/>
          <w:color w:val="auto"/>
          <w:sz w:val="24"/>
          <w:szCs w:val="24"/>
          <w:highlight w:val="none"/>
        </w:rPr>
        <w:t xml:space="preserve">项目编号：    </w:t>
      </w:r>
    </w:p>
    <w:p>
      <w:pPr>
        <w:pStyle w:val="3"/>
        <w:spacing w:line="360" w:lineRule="auto"/>
        <w:jc w:val="both"/>
        <w:rPr>
          <w:rFonts w:cs="宋体"/>
          <w:color w:val="auto"/>
          <w:sz w:val="24"/>
          <w:highlight w:val="none"/>
        </w:rPr>
      </w:pPr>
      <w:r>
        <w:rPr>
          <w:rFonts w:hint="eastAsia"/>
          <w:color w:val="auto"/>
          <w:sz w:val="24"/>
          <w:szCs w:val="24"/>
          <w:highlight w:val="none"/>
        </w:rPr>
        <w:t xml:space="preserve">项目名称: </w:t>
      </w:r>
    </w:p>
    <w:p>
      <w:pPr>
        <w:pStyle w:val="29"/>
        <w:spacing w:line="360" w:lineRule="auto"/>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pPr>
              <w:pStyle w:val="10"/>
              <w:snapToGrid w:val="0"/>
              <w:spacing w:line="36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pPr>
              <w:pStyle w:val="10"/>
              <w:snapToGrid w:val="0"/>
              <w:spacing w:line="36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pPr>
              <w:pStyle w:val="10"/>
              <w:snapToGrid w:val="0"/>
              <w:spacing w:line="36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采购标的</w:t>
            </w:r>
          </w:p>
        </w:tc>
        <w:tc>
          <w:tcPr>
            <w:tcW w:w="1289" w:type="dxa"/>
            <w:vAlign w:val="center"/>
          </w:tcPr>
          <w:p>
            <w:pPr>
              <w:pStyle w:val="10"/>
              <w:snapToGrid w:val="0"/>
              <w:spacing w:line="36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613" w:type="dxa"/>
            <w:vAlign w:val="center"/>
          </w:tcPr>
          <w:p>
            <w:pPr>
              <w:pStyle w:val="10"/>
              <w:snapToGrid w:val="0"/>
              <w:spacing w:line="36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单价</w:t>
            </w:r>
          </w:p>
        </w:tc>
        <w:tc>
          <w:tcPr>
            <w:tcW w:w="2746" w:type="dxa"/>
            <w:vAlign w:val="center"/>
          </w:tcPr>
          <w:p>
            <w:pPr>
              <w:pStyle w:val="10"/>
              <w:snapToGrid w:val="0"/>
              <w:spacing w:line="36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pPr>
              <w:snapToGrid w:val="0"/>
              <w:spacing w:line="360" w:lineRule="auto"/>
              <w:jc w:val="center"/>
              <w:rPr>
                <w:rFonts w:ascii="宋体" w:hAnsi="宋体"/>
                <w:color w:val="auto"/>
                <w:sz w:val="24"/>
                <w:highlight w:val="none"/>
              </w:rPr>
            </w:pPr>
          </w:p>
        </w:tc>
        <w:tc>
          <w:tcPr>
            <w:tcW w:w="797" w:type="dxa"/>
            <w:vAlign w:val="center"/>
          </w:tcPr>
          <w:p>
            <w:pPr>
              <w:snapToGrid w:val="0"/>
              <w:spacing w:line="360" w:lineRule="auto"/>
              <w:jc w:val="center"/>
              <w:rPr>
                <w:rFonts w:ascii="宋体" w:hAnsi="宋体"/>
                <w:color w:val="auto"/>
                <w:sz w:val="24"/>
                <w:highlight w:val="none"/>
              </w:rPr>
            </w:pPr>
          </w:p>
        </w:tc>
        <w:tc>
          <w:tcPr>
            <w:tcW w:w="1967" w:type="dxa"/>
            <w:vAlign w:val="center"/>
          </w:tcPr>
          <w:p>
            <w:pPr>
              <w:snapToGrid w:val="0"/>
              <w:spacing w:line="360" w:lineRule="auto"/>
              <w:jc w:val="center"/>
              <w:rPr>
                <w:rFonts w:ascii="宋体" w:hAnsi="宋体"/>
                <w:color w:val="auto"/>
                <w:sz w:val="24"/>
                <w:highlight w:val="none"/>
              </w:rPr>
            </w:pPr>
          </w:p>
        </w:tc>
        <w:tc>
          <w:tcPr>
            <w:tcW w:w="1289" w:type="dxa"/>
            <w:vAlign w:val="center"/>
          </w:tcPr>
          <w:p>
            <w:pPr>
              <w:snapToGrid w:val="0"/>
              <w:spacing w:line="360" w:lineRule="auto"/>
              <w:jc w:val="center"/>
              <w:rPr>
                <w:rFonts w:ascii="宋体" w:hAnsi="宋体"/>
                <w:color w:val="auto"/>
                <w:sz w:val="24"/>
                <w:highlight w:val="none"/>
              </w:rPr>
            </w:pPr>
          </w:p>
        </w:tc>
        <w:tc>
          <w:tcPr>
            <w:tcW w:w="1613" w:type="dxa"/>
            <w:vAlign w:val="center"/>
          </w:tcPr>
          <w:p>
            <w:pPr>
              <w:snapToGrid w:val="0"/>
              <w:spacing w:line="360" w:lineRule="auto"/>
              <w:jc w:val="center"/>
              <w:rPr>
                <w:rFonts w:ascii="宋体" w:hAnsi="宋体" w:cs="宋体"/>
                <w:color w:val="auto"/>
                <w:kern w:val="0"/>
                <w:sz w:val="24"/>
                <w:highlight w:val="none"/>
              </w:rPr>
            </w:pPr>
          </w:p>
        </w:tc>
        <w:tc>
          <w:tcPr>
            <w:tcW w:w="2746" w:type="dxa"/>
            <w:vAlign w:val="center"/>
          </w:tcPr>
          <w:p>
            <w:pPr>
              <w:widowControl/>
              <w:spacing w:line="360" w:lineRule="auto"/>
              <w:jc w:val="left"/>
              <w:rPr>
                <w:rFonts w:ascii="宋体" w:hAnsi="宋体"/>
                <w:color w:val="auto"/>
                <w:sz w:val="24"/>
                <w:highlight w:val="none"/>
              </w:rPr>
            </w:pPr>
          </w:p>
        </w:tc>
      </w:tr>
    </w:tbl>
    <w:p>
      <w:pPr>
        <w:pStyle w:val="29"/>
        <w:spacing w:line="360" w:lineRule="auto"/>
        <w:ind w:firstLine="6240" w:firstLineChars="2600"/>
        <w:rPr>
          <w:rFonts w:ascii="宋体" w:hAnsi="宋体"/>
          <w:color w:val="auto"/>
          <w:sz w:val="24"/>
          <w:highlight w:val="none"/>
        </w:rPr>
      </w:pPr>
    </w:p>
    <w:p>
      <w:pPr>
        <w:pStyle w:val="29"/>
        <w:spacing w:line="360" w:lineRule="auto"/>
        <w:ind w:firstLine="6240" w:firstLineChars="2600"/>
        <w:rPr>
          <w:rFonts w:ascii="宋体" w:hAnsi="宋体"/>
          <w:color w:val="auto"/>
          <w:sz w:val="24"/>
          <w:highlight w:val="none"/>
        </w:rPr>
      </w:pPr>
    </w:p>
    <w:p>
      <w:pPr>
        <w:pStyle w:val="29"/>
        <w:spacing w:line="360" w:lineRule="auto"/>
        <w:ind w:firstLine="6240" w:firstLineChars="2600"/>
        <w:rPr>
          <w:rFonts w:ascii="宋体" w:hAnsi="宋体"/>
          <w:color w:val="auto"/>
          <w:sz w:val="24"/>
          <w:highlight w:val="none"/>
        </w:rPr>
      </w:pPr>
    </w:p>
    <w:p>
      <w:pPr>
        <w:pStyle w:val="15"/>
        <w:spacing w:before="75" w:beforeAutospacing="0" w:after="75" w:afterAutospacing="0" w:line="360" w:lineRule="auto"/>
        <w:rPr>
          <w:color w:val="auto"/>
          <w:sz w:val="28"/>
          <w:szCs w:val="28"/>
          <w:highlight w:val="none"/>
        </w:rPr>
      </w:pPr>
    </w:p>
    <w:p>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pPr>
        <w:spacing w:line="360" w:lineRule="auto"/>
        <w:ind w:firstLine="3240" w:firstLineChars="1350"/>
        <w:rPr>
          <w:color w:val="auto"/>
          <w:highlight w:val="none"/>
        </w:rPr>
      </w:pPr>
      <w:r>
        <w:rPr>
          <w:rFonts w:hint="eastAsia" w:ascii="宋体" w:hAnsi="宋体"/>
          <w:color w:val="auto"/>
          <w:sz w:val="24"/>
          <w:highlight w:val="none"/>
        </w:rPr>
        <w:t>日期：</w:t>
      </w:r>
    </w:p>
    <w:p>
      <w:pPr>
        <w:spacing w:line="360" w:lineRule="auto"/>
        <w:rPr>
          <w:color w:val="auto"/>
          <w:highlight w:val="none"/>
        </w:rPr>
      </w:pPr>
    </w:p>
    <w:p>
      <w:pPr>
        <w:spacing w:line="360" w:lineRule="auto"/>
        <w:rPr>
          <w:color w:val="auto"/>
          <w:highlight w:val="none"/>
        </w:rPr>
      </w:pPr>
    </w:p>
    <w:p>
      <w:pPr>
        <w:spacing w:line="360" w:lineRule="auto"/>
        <w:rPr>
          <w:color w:val="auto"/>
          <w:highlight w:val="none"/>
        </w:rPr>
      </w:pPr>
    </w:p>
    <w:p>
      <w:pPr>
        <w:pStyle w:val="4"/>
        <w:spacing w:line="360" w:lineRule="auto"/>
        <w:rPr>
          <w:rFonts w:hint="default"/>
          <w:color w:val="auto"/>
          <w:highlight w:val="none"/>
        </w:rPr>
      </w:pPr>
    </w:p>
    <w:p>
      <w:pPr>
        <w:spacing w:line="360" w:lineRule="auto"/>
        <w:rPr>
          <w:color w:val="auto"/>
          <w:highlight w:val="none"/>
        </w:rPr>
      </w:pPr>
    </w:p>
    <w:p>
      <w:pPr>
        <w:pStyle w:val="4"/>
        <w:spacing w:line="360" w:lineRule="auto"/>
        <w:rPr>
          <w:rFonts w:hint="default"/>
          <w:color w:val="auto"/>
          <w:highlight w:val="none"/>
        </w:rPr>
      </w:pPr>
    </w:p>
    <w:p>
      <w:pPr>
        <w:spacing w:line="360" w:lineRule="auto"/>
        <w:rPr>
          <w:color w:val="auto"/>
          <w:highlight w:val="none"/>
        </w:rPr>
      </w:pPr>
    </w:p>
    <w:p>
      <w:pPr>
        <w:numPr>
          <w:ilvl w:val="0"/>
          <w:numId w:val="2"/>
        </w:numPr>
        <w:spacing w:line="360" w:lineRule="auto"/>
        <w:jc w:val="center"/>
        <w:rPr>
          <w:color w:val="auto"/>
          <w:highlight w:val="none"/>
        </w:rPr>
      </w:pPr>
      <w:r>
        <w:rPr>
          <w:color w:val="auto"/>
          <w:highlight w:val="none"/>
        </w:rPr>
        <w:br w:type="page"/>
      </w:r>
    </w:p>
    <w:p>
      <w:pPr>
        <w:pStyle w:val="4"/>
        <w:spacing w:line="360" w:lineRule="auto"/>
        <w:rPr>
          <w:rFonts w:hint="default"/>
          <w:color w:val="auto"/>
          <w:highlight w:val="none"/>
        </w:rPr>
      </w:pPr>
      <w:r>
        <w:rPr>
          <w:color w:val="auto"/>
          <w:highlight w:val="none"/>
        </w:rPr>
        <w:t>2、</w:t>
      </w:r>
      <w:r>
        <w:rPr>
          <w:rFonts w:hint="eastAsia"/>
          <w:color w:val="auto"/>
          <w:highlight w:val="none"/>
          <w:lang w:eastAsia="zh-CN"/>
        </w:rPr>
        <w:t>货物（服务）</w:t>
      </w:r>
      <w:r>
        <w:rPr>
          <w:color w:val="auto"/>
          <w:highlight w:val="none"/>
        </w:rPr>
        <w:t>分项报价表（若有）</w:t>
      </w:r>
    </w:p>
    <w:p>
      <w:pPr>
        <w:pStyle w:val="3"/>
        <w:spacing w:line="360" w:lineRule="auto"/>
        <w:rPr>
          <w:color w:val="auto"/>
          <w:sz w:val="24"/>
          <w:szCs w:val="24"/>
          <w:highlight w:val="none"/>
        </w:rPr>
      </w:pPr>
      <w:r>
        <w:rPr>
          <w:rFonts w:hint="eastAsia"/>
          <w:color w:val="auto"/>
          <w:sz w:val="24"/>
          <w:szCs w:val="24"/>
          <w:highlight w:val="none"/>
        </w:rPr>
        <w:t xml:space="preserve">项目编号：    </w:t>
      </w:r>
    </w:p>
    <w:p>
      <w:pPr>
        <w:pStyle w:val="3"/>
        <w:spacing w:line="360" w:lineRule="auto"/>
        <w:jc w:val="both"/>
        <w:rPr>
          <w:rFonts w:cs="宋体"/>
          <w:color w:val="auto"/>
          <w:sz w:val="24"/>
          <w:highlight w:val="none"/>
        </w:rPr>
      </w:pPr>
      <w:r>
        <w:rPr>
          <w:rFonts w:hint="eastAsia"/>
          <w:color w:val="auto"/>
          <w:sz w:val="24"/>
          <w:szCs w:val="24"/>
          <w:highlight w:val="none"/>
        </w:rPr>
        <w:t xml:space="preserve">项目名称: </w:t>
      </w:r>
    </w:p>
    <w:p>
      <w:pPr>
        <w:pStyle w:val="29"/>
        <w:spacing w:line="360" w:lineRule="auto"/>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pPr>
              <w:pStyle w:val="10"/>
              <w:snapToGrid w:val="0"/>
              <w:spacing w:line="36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pPr>
              <w:pStyle w:val="10"/>
              <w:snapToGrid w:val="0"/>
              <w:spacing w:line="36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pPr>
              <w:pStyle w:val="10"/>
              <w:snapToGrid w:val="0"/>
              <w:spacing w:line="36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eastAsia="zh-CN"/>
              </w:rPr>
              <w:t>货物</w:t>
            </w:r>
            <w:r>
              <w:rPr>
                <w:rFonts w:hint="eastAsia" w:hAnsi="宋体"/>
                <w:color w:val="auto"/>
                <w:kern w:val="2"/>
                <w:sz w:val="24"/>
                <w:highlight w:val="none"/>
                <w:lang w:val="en-US" w:eastAsia="zh-CN"/>
              </w:rPr>
              <w:t>/服务</w:t>
            </w:r>
            <w:r>
              <w:rPr>
                <w:rFonts w:hint="eastAsia" w:hAnsi="宋体"/>
                <w:color w:val="auto"/>
                <w:kern w:val="2"/>
                <w:sz w:val="24"/>
                <w:highlight w:val="none"/>
              </w:rPr>
              <w:t>名称</w:t>
            </w:r>
          </w:p>
        </w:tc>
        <w:tc>
          <w:tcPr>
            <w:tcW w:w="1289" w:type="dxa"/>
            <w:vAlign w:val="center"/>
          </w:tcPr>
          <w:p>
            <w:pPr>
              <w:pStyle w:val="10"/>
              <w:snapToGrid w:val="0"/>
              <w:spacing w:line="36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613" w:type="dxa"/>
            <w:vAlign w:val="center"/>
          </w:tcPr>
          <w:p>
            <w:pPr>
              <w:pStyle w:val="10"/>
              <w:snapToGrid w:val="0"/>
              <w:spacing w:line="36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单价</w:t>
            </w:r>
          </w:p>
        </w:tc>
        <w:tc>
          <w:tcPr>
            <w:tcW w:w="2746" w:type="dxa"/>
            <w:vAlign w:val="center"/>
          </w:tcPr>
          <w:p>
            <w:pPr>
              <w:pStyle w:val="10"/>
              <w:snapToGrid w:val="0"/>
              <w:spacing w:line="36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pPr>
              <w:snapToGrid w:val="0"/>
              <w:spacing w:line="360" w:lineRule="auto"/>
              <w:jc w:val="center"/>
              <w:rPr>
                <w:rFonts w:ascii="宋体" w:hAnsi="宋体"/>
                <w:color w:val="auto"/>
                <w:sz w:val="24"/>
                <w:highlight w:val="none"/>
              </w:rPr>
            </w:pPr>
          </w:p>
        </w:tc>
        <w:tc>
          <w:tcPr>
            <w:tcW w:w="797" w:type="dxa"/>
            <w:vAlign w:val="center"/>
          </w:tcPr>
          <w:p>
            <w:pPr>
              <w:snapToGrid w:val="0"/>
              <w:spacing w:line="360" w:lineRule="auto"/>
              <w:jc w:val="center"/>
              <w:rPr>
                <w:rFonts w:ascii="宋体" w:hAnsi="宋体"/>
                <w:color w:val="auto"/>
                <w:sz w:val="24"/>
                <w:highlight w:val="none"/>
              </w:rPr>
            </w:pPr>
          </w:p>
        </w:tc>
        <w:tc>
          <w:tcPr>
            <w:tcW w:w="1967" w:type="dxa"/>
            <w:vAlign w:val="center"/>
          </w:tcPr>
          <w:p>
            <w:pPr>
              <w:snapToGrid w:val="0"/>
              <w:spacing w:line="360" w:lineRule="auto"/>
              <w:jc w:val="center"/>
              <w:rPr>
                <w:rFonts w:ascii="宋体" w:hAnsi="宋体"/>
                <w:color w:val="auto"/>
                <w:sz w:val="24"/>
                <w:highlight w:val="none"/>
              </w:rPr>
            </w:pPr>
          </w:p>
        </w:tc>
        <w:tc>
          <w:tcPr>
            <w:tcW w:w="1289" w:type="dxa"/>
            <w:vAlign w:val="center"/>
          </w:tcPr>
          <w:p>
            <w:pPr>
              <w:snapToGrid w:val="0"/>
              <w:spacing w:line="360" w:lineRule="auto"/>
              <w:jc w:val="center"/>
              <w:rPr>
                <w:rFonts w:ascii="宋体" w:hAnsi="宋体"/>
                <w:color w:val="auto"/>
                <w:sz w:val="24"/>
                <w:highlight w:val="none"/>
              </w:rPr>
            </w:pPr>
          </w:p>
        </w:tc>
        <w:tc>
          <w:tcPr>
            <w:tcW w:w="1613" w:type="dxa"/>
            <w:vAlign w:val="center"/>
          </w:tcPr>
          <w:p>
            <w:pPr>
              <w:snapToGrid w:val="0"/>
              <w:spacing w:line="360" w:lineRule="auto"/>
              <w:jc w:val="center"/>
              <w:rPr>
                <w:rFonts w:ascii="宋体" w:hAnsi="宋体" w:cs="宋体"/>
                <w:color w:val="auto"/>
                <w:kern w:val="0"/>
                <w:sz w:val="24"/>
                <w:highlight w:val="none"/>
              </w:rPr>
            </w:pPr>
          </w:p>
        </w:tc>
        <w:tc>
          <w:tcPr>
            <w:tcW w:w="2746" w:type="dxa"/>
            <w:vAlign w:val="center"/>
          </w:tcPr>
          <w:p>
            <w:pPr>
              <w:widowControl/>
              <w:spacing w:line="360" w:lineRule="auto"/>
              <w:jc w:val="left"/>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pPr>
              <w:snapToGrid w:val="0"/>
              <w:spacing w:line="360" w:lineRule="auto"/>
              <w:jc w:val="center"/>
              <w:rPr>
                <w:rFonts w:ascii="宋体" w:hAnsi="宋体"/>
                <w:color w:val="auto"/>
                <w:sz w:val="24"/>
                <w:highlight w:val="none"/>
              </w:rPr>
            </w:pPr>
          </w:p>
        </w:tc>
        <w:tc>
          <w:tcPr>
            <w:tcW w:w="797" w:type="dxa"/>
            <w:vAlign w:val="center"/>
          </w:tcPr>
          <w:p>
            <w:pPr>
              <w:snapToGrid w:val="0"/>
              <w:spacing w:line="360" w:lineRule="auto"/>
              <w:jc w:val="center"/>
              <w:rPr>
                <w:rFonts w:ascii="宋体" w:hAnsi="宋体"/>
                <w:color w:val="auto"/>
                <w:sz w:val="24"/>
                <w:highlight w:val="none"/>
              </w:rPr>
            </w:pPr>
          </w:p>
        </w:tc>
        <w:tc>
          <w:tcPr>
            <w:tcW w:w="1967" w:type="dxa"/>
            <w:vAlign w:val="center"/>
          </w:tcPr>
          <w:p>
            <w:pPr>
              <w:snapToGrid w:val="0"/>
              <w:spacing w:line="360" w:lineRule="auto"/>
              <w:jc w:val="center"/>
              <w:rPr>
                <w:rFonts w:ascii="宋体" w:hAnsi="宋体"/>
                <w:color w:val="auto"/>
                <w:sz w:val="24"/>
                <w:highlight w:val="none"/>
              </w:rPr>
            </w:pPr>
          </w:p>
        </w:tc>
        <w:tc>
          <w:tcPr>
            <w:tcW w:w="1289" w:type="dxa"/>
            <w:vAlign w:val="center"/>
          </w:tcPr>
          <w:p>
            <w:pPr>
              <w:snapToGrid w:val="0"/>
              <w:spacing w:line="360" w:lineRule="auto"/>
              <w:jc w:val="center"/>
              <w:rPr>
                <w:rFonts w:ascii="宋体" w:hAnsi="宋体"/>
                <w:color w:val="auto"/>
                <w:sz w:val="24"/>
                <w:highlight w:val="none"/>
              </w:rPr>
            </w:pPr>
          </w:p>
        </w:tc>
        <w:tc>
          <w:tcPr>
            <w:tcW w:w="1613" w:type="dxa"/>
            <w:vAlign w:val="center"/>
          </w:tcPr>
          <w:p>
            <w:pPr>
              <w:snapToGrid w:val="0"/>
              <w:spacing w:line="360" w:lineRule="auto"/>
              <w:jc w:val="center"/>
              <w:rPr>
                <w:rFonts w:ascii="宋体" w:hAnsi="宋体" w:cs="宋体"/>
                <w:color w:val="auto"/>
                <w:kern w:val="0"/>
                <w:sz w:val="24"/>
                <w:highlight w:val="none"/>
              </w:rPr>
            </w:pPr>
          </w:p>
        </w:tc>
        <w:tc>
          <w:tcPr>
            <w:tcW w:w="2746" w:type="dxa"/>
            <w:vAlign w:val="center"/>
          </w:tcPr>
          <w:p>
            <w:pPr>
              <w:widowControl/>
              <w:spacing w:line="360" w:lineRule="auto"/>
              <w:jc w:val="left"/>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pPr>
              <w:snapToGrid w:val="0"/>
              <w:spacing w:line="360" w:lineRule="auto"/>
              <w:jc w:val="center"/>
              <w:rPr>
                <w:rFonts w:ascii="宋体" w:hAnsi="宋体"/>
                <w:color w:val="auto"/>
                <w:sz w:val="24"/>
                <w:highlight w:val="none"/>
              </w:rPr>
            </w:pPr>
          </w:p>
        </w:tc>
        <w:tc>
          <w:tcPr>
            <w:tcW w:w="797" w:type="dxa"/>
            <w:vAlign w:val="center"/>
          </w:tcPr>
          <w:p>
            <w:pPr>
              <w:snapToGrid w:val="0"/>
              <w:spacing w:line="360" w:lineRule="auto"/>
              <w:jc w:val="center"/>
              <w:rPr>
                <w:rFonts w:ascii="宋体" w:hAnsi="宋体"/>
                <w:color w:val="auto"/>
                <w:sz w:val="24"/>
                <w:highlight w:val="none"/>
              </w:rPr>
            </w:pPr>
          </w:p>
        </w:tc>
        <w:tc>
          <w:tcPr>
            <w:tcW w:w="1967" w:type="dxa"/>
            <w:vAlign w:val="center"/>
          </w:tcPr>
          <w:p>
            <w:pPr>
              <w:snapToGrid w:val="0"/>
              <w:spacing w:line="360" w:lineRule="auto"/>
              <w:jc w:val="center"/>
              <w:rPr>
                <w:rFonts w:ascii="宋体" w:hAnsi="宋体"/>
                <w:color w:val="auto"/>
                <w:sz w:val="24"/>
                <w:highlight w:val="none"/>
              </w:rPr>
            </w:pPr>
          </w:p>
        </w:tc>
        <w:tc>
          <w:tcPr>
            <w:tcW w:w="1289" w:type="dxa"/>
            <w:vAlign w:val="center"/>
          </w:tcPr>
          <w:p>
            <w:pPr>
              <w:snapToGrid w:val="0"/>
              <w:spacing w:line="360" w:lineRule="auto"/>
              <w:jc w:val="center"/>
              <w:rPr>
                <w:rFonts w:ascii="宋体" w:hAnsi="宋体"/>
                <w:color w:val="auto"/>
                <w:sz w:val="24"/>
                <w:highlight w:val="none"/>
              </w:rPr>
            </w:pPr>
          </w:p>
        </w:tc>
        <w:tc>
          <w:tcPr>
            <w:tcW w:w="1613" w:type="dxa"/>
            <w:vAlign w:val="center"/>
          </w:tcPr>
          <w:p>
            <w:pPr>
              <w:snapToGrid w:val="0"/>
              <w:spacing w:line="360" w:lineRule="auto"/>
              <w:jc w:val="center"/>
              <w:rPr>
                <w:rFonts w:ascii="宋体" w:hAnsi="宋体" w:cs="宋体"/>
                <w:color w:val="auto"/>
                <w:kern w:val="0"/>
                <w:sz w:val="24"/>
                <w:highlight w:val="none"/>
              </w:rPr>
            </w:pPr>
          </w:p>
        </w:tc>
        <w:tc>
          <w:tcPr>
            <w:tcW w:w="2746" w:type="dxa"/>
            <w:vAlign w:val="center"/>
          </w:tcPr>
          <w:p>
            <w:pPr>
              <w:widowControl/>
              <w:spacing w:line="360" w:lineRule="auto"/>
              <w:jc w:val="left"/>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vAlign w:val="center"/>
          </w:tcPr>
          <w:p>
            <w:pPr>
              <w:widowControl/>
              <w:spacing w:line="360" w:lineRule="auto"/>
              <w:jc w:val="left"/>
              <w:rPr>
                <w:rFonts w:ascii="宋体" w:hAnsi="宋体"/>
                <w:color w:val="auto"/>
                <w:sz w:val="24"/>
                <w:highlight w:val="none"/>
              </w:rPr>
            </w:pPr>
            <w:r>
              <w:rPr>
                <w:rFonts w:hint="eastAsia" w:ascii="宋体" w:hAnsi="宋体"/>
                <w:color w:val="auto"/>
                <w:sz w:val="24"/>
                <w:highlight w:val="none"/>
              </w:rPr>
              <w:t>合同包总价：</w:t>
            </w:r>
          </w:p>
        </w:tc>
      </w:tr>
    </w:tbl>
    <w:p>
      <w:pPr>
        <w:pStyle w:val="29"/>
        <w:spacing w:line="360" w:lineRule="auto"/>
        <w:ind w:firstLine="6240" w:firstLineChars="2600"/>
        <w:rPr>
          <w:rFonts w:ascii="宋体" w:hAnsi="宋体"/>
          <w:color w:val="auto"/>
          <w:sz w:val="24"/>
          <w:highlight w:val="none"/>
        </w:rPr>
      </w:pPr>
    </w:p>
    <w:p>
      <w:pPr>
        <w:pStyle w:val="29"/>
        <w:spacing w:line="360" w:lineRule="auto"/>
        <w:ind w:firstLine="6240" w:firstLineChars="2600"/>
        <w:rPr>
          <w:rFonts w:ascii="宋体" w:hAnsi="宋体"/>
          <w:color w:val="auto"/>
          <w:sz w:val="24"/>
          <w:highlight w:val="none"/>
        </w:rPr>
      </w:pPr>
    </w:p>
    <w:p>
      <w:pPr>
        <w:pStyle w:val="15"/>
        <w:spacing w:before="75" w:beforeAutospacing="0" w:after="75" w:afterAutospacing="0" w:line="360" w:lineRule="auto"/>
        <w:rPr>
          <w:color w:val="auto"/>
          <w:sz w:val="28"/>
          <w:szCs w:val="28"/>
          <w:highlight w:val="none"/>
        </w:rPr>
      </w:pPr>
    </w:p>
    <w:p>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pPr>
        <w:spacing w:line="360" w:lineRule="auto"/>
        <w:rPr>
          <w:rFonts w:ascii="宋体" w:hAnsi="宋体"/>
          <w:color w:val="auto"/>
          <w:sz w:val="24"/>
          <w:highlight w:val="none"/>
        </w:rPr>
      </w:pPr>
      <w:r>
        <w:rPr>
          <w:rFonts w:hint="eastAsia" w:ascii="宋体" w:hAnsi="宋体"/>
          <w:color w:val="auto"/>
          <w:sz w:val="24"/>
          <w:highlight w:val="none"/>
        </w:rPr>
        <w:t>供应商代表签字：</w:t>
      </w:r>
    </w:p>
    <w:p>
      <w:pPr>
        <w:spacing w:line="360" w:lineRule="auto"/>
        <w:rPr>
          <w:color w:val="auto"/>
          <w:highlight w:val="none"/>
        </w:rPr>
      </w:pPr>
      <w:r>
        <w:rPr>
          <w:rFonts w:hint="eastAsia" w:ascii="宋体" w:hAnsi="宋体"/>
          <w:color w:val="auto"/>
          <w:sz w:val="24"/>
          <w:highlight w:val="none"/>
        </w:rPr>
        <w:t>日期：</w:t>
      </w:r>
    </w:p>
    <w:p>
      <w:pPr>
        <w:spacing w:line="360" w:lineRule="auto"/>
        <w:rPr>
          <w:color w:val="auto"/>
          <w:highlight w:val="none"/>
        </w:rPr>
      </w:pP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新宋体">
    <w:panose1 w:val="02010609030101010101"/>
    <w:charset w:val="86"/>
    <w:family w:val="modern"/>
    <w:pitch w:val="default"/>
    <w:sig w:usb0="000000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pPr>
                          <w:r>
                            <w:fldChar w:fldCharType="begin"/>
                          </w:r>
                          <w:r>
                            <w:instrText xml:space="preserve"> PAGE  \* MERGEFORMAT </w:instrText>
                          </w:r>
                          <w:r>
                            <w:fldChar w:fldCharType="separate"/>
                          </w:r>
                          <w:r>
                            <w:t>32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pPr>
                      <w:pStyle w:val="1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abstractNum w:abstractNumId="1">
    <w:nsid w:val="3B44D3C6"/>
    <w:multiLevelType w:val="singleLevel"/>
    <w:tmpl w:val="3B44D3C6"/>
    <w:lvl w:ilvl="0" w:tentative="0">
      <w:start w:val="2"/>
      <w:numFmt w:val="decimal"/>
      <w:suff w:val="nothing"/>
      <w:lvlText w:val="%1、"/>
      <w:lvlJc w:val="left"/>
      <w:pPr>
        <w:ind w:left="315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hOTcyMjYwMGQ0NDhlYjE0NWU3OTZmMTE1ZDIyZjEifQ=="/>
  </w:docVars>
  <w:rsids>
    <w:rsidRoot w:val="00000000"/>
    <w:rsid w:val="04C91366"/>
    <w:rsid w:val="06154876"/>
    <w:rsid w:val="07BD1481"/>
    <w:rsid w:val="09A06EBC"/>
    <w:rsid w:val="0B043CFB"/>
    <w:rsid w:val="11734F8A"/>
    <w:rsid w:val="11AD4ADB"/>
    <w:rsid w:val="193F19F8"/>
    <w:rsid w:val="1ADE3486"/>
    <w:rsid w:val="1E2C09AB"/>
    <w:rsid w:val="1E897F61"/>
    <w:rsid w:val="25776FB2"/>
    <w:rsid w:val="27003255"/>
    <w:rsid w:val="27C42B43"/>
    <w:rsid w:val="2A607742"/>
    <w:rsid w:val="2DE91F5F"/>
    <w:rsid w:val="32F774DE"/>
    <w:rsid w:val="35E30AE8"/>
    <w:rsid w:val="36221138"/>
    <w:rsid w:val="3C5F37F8"/>
    <w:rsid w:val="3D6C7658"/>
    <w:rsid w:val="3DC2628F"/>
    <w:rsid w:val="417E75E8"/>
    <w:rsid w:val="464C04BE"/>
    <w:rsid w:val="46E75079"/>
    <w:rsid w:val="489259CA"/>
    <w:rsid w:val="4C15710C"/>
    <w:rsid w:val="4CE2174D"/>
    <w:rsid w:val="4D0C6761"/>
    <w:rsid w:val="51497716"/>
    <w:rsid w:val="522C2C59"/>
    <w:rsid w:val="55357439"/>
    <w:rsid w:val="5B761B8D"/>
    <w:rsid w:val="5E33550D"/>
    <w:rsid w:val="65EA4BF3"/>
    <w:rsid w:val="6656570C"/>
    <w:rsid w:val="670C6B88"/>
    <w:rsid w:val="68AC5DD9"/>
    <w:rsid w:val="69E70454"/>
    <w:rsid w:val="70EF59EE"/>
    <w:rsid w:val="7255713C"/>
    <w:rsid w:val="74B308B5"/>
    <w:rsid w:val="75247769"/>
    <w:rsid w:val="755F1275"/>
    <w:rsid w:val="758D2516"/>
    <w:rsid w:val="78D50787"/>
    <w:rsid w:val="7D3F0A9F"/>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line="360" w:lineRule="auto"/>
      <w:jc w:val="center"/>
      <w:outlineLvl w:val="0"/>
    </w:pPr>
    <w:rPr>
      <w:rFonts w:hint="eastAsia" w:ascii="宋体" w:hAnsi="宋体"/>
      <w:b/>
      <w:bCs/>
      <w:kern w:val="44"/>
      <w:sz w:val="32"/>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2"/>
    <w:next w:val="1"/>
    <w:unhideWhenUsed/>
    <w:qFormat/>
    <w:uiPriority w:val="9"/>
    <w:pPr>
      <w:keepNext/>
      <w:keepLines/>
      <w:spacing w:before="260" w:after="260" w:line="416" w:lineRule="auto"/>
      <w:outlineLvl w:val="2"/>
    </w:pPr>
    <w:rPr>
      <w:szCs w:val="32"/>
    </w:rPr>
  </w:style>
  <w:style w:type="character" w:default="1" w:styleId="22">
    <w:name w:val="Default Paragraph Font"/>
    <w:unhideWhenUsed/>
    <w:qFormat/>
    <w:uiPriority w:val="1"/>
  </w:style>
  <w:style w:type="table" w:default="1" w:styleId="20">
    <w:name w:val="Normal Table"/>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pPr>
    <w:rPr>
      <w:szCs w:val="20"/>
    </w:rPr>
  </w:style>
  <w:style w:type="paragraph" w:styleId="6">
    <w:name w:val="annotation text"/>
    <w:basedOn w:val="1"/>
    <w:qFormat/>
    <w:uiPriority w:val="0"/>
    <w:pPr>
      <w:jc w:val="left"/>
    </w:pPr>
  </w:style>
  <w:style w:type="paragraph" w:styleId="7">
    <w:name w:val="Body Text"/>
    <w:basedOn w:val="1"/>
    <w:next w:val="1"/>
    <w:qFormat/>
    <w:uiPriority w:val="0"/>
    <w:pPr>
      <w:spacing w:after="120"/>
    </w:pPr>
  </w:style>
  <w:style w:type="paragraph" w:styleId="8">
    <w:name w:val="Body Text Indent"/>
    <w:basedOn w:val="1"/>
    <w:next w:val="9"/>
    <w:qFormat/>
    <w:uiPriority w:val="0"/>
    <w:pPr>
      <w:spacing w:after="120"/>
      <w:ind w:left="420" w:leftChars="200"/>
    </w:pPr>
  </w:style>
  <w:style w:type="paragraph" w:styleId="9">
    <w:name w:val="envelope return"/>
    <w:basedOn w:val="1"/>
    <w:qFormat/>
    <w:uiPriority w:val="0"/>
    <w:pPr>
      <w:snapToGrid w:val="0"/>
    </w:pPr>
    <w:rPr>
      <w:rFonts w:ascii="Arial" w:hAnsi="Arial"/>
    </w:rPr>
  </w:style>
  <w:style w:type="paragraph" w:styleId="10">
    <w:name w:val="Plain Text"/>
    <w:basedOn w:val="1"/>
    <w:qFormat/>
    <w:uiPriority w:val="0"/>
    <w:rPr>
      <w:rFonts w:ascii="宋体" w:hAnsi="Courier New"/>
      <w:kern w:val="0"/>
      <w:sz w:val="20"/>
    </w:rPr>
  </w:style>
  <w:style w:type="paragraph" w:styleId="11">
    <w:name w:val="Body Text Indent 2"/>
    <w:basedOn w:val="1"/>
    <w:qFormat/>
    <w:uiPriority w:val="0"/>
    <w:pPr>
      <w:spacing w:line="480" w:lineRule="auto"/>
      <w:ind w:left="420" w:leftChars="200"/>
    </w:pPr>
  </w:style>
  <w:style w:type="paragraph" w:styleId="12">
    <w:name w:val="Balloon Text"/>
    <w:basedOn w:val="1"/>
    <w:link w:val="33"/>
    <w:qFormat/>
    <w:uiPriority w:val="0"/>
    <w:rPr>
      <w:sz w:val="18"/>
      <w:szCs w:val="18"/>
    </w:rPr>
  </w:style>
  <w:style w:type="paragraph" w:styleId="13">
    <w:name w:val="footer"/>
    <w:basedOn w:val="1"/>
    <w:next w:val="1"/>
    <w:qFormat/>
    <w:uiPriority w:val="99"/>
    <w:pPr>
      <w:tabs>
        <w:tab w:val="center" w:pos="4153"/>
        <w:tab w:val="right" w:pos="8306"/>
      </w:tabs>
      <w:snapToGrid w:val="0"/>
      <w:jc w:val="left"/>
    </w:pPr>
    <w:rPr>
      <w:sz w:val="18"/>
      <w:szCs w:val="18"/>
    </w:rPr>
  </w:style>
  <w:style w:type="paragraph" w:styleId="14">
    <w:name w:val="header"/>
    <w:basedOn w:val="1"/>
    <w:link w:val="32"/>
    <w:qFormat/>
    <w:uiPriority w:val="0"/>
    <w:pPr>
      <w:pBdr>
        <w:bottom w:val="single" w:color="auto" w:sz="6" w:space="1"/>
      </w:pBdr>
      <w:tabs>
        <w:tab w:val="center" w:pos="4153"/>
        <w:tab w:val="right" w:pos="8306"/>
      </w:tabs>
      <w:snapToGrid w:val="0"/>
      <w:jc w:val="center"/>
    </w:pPr>
    <w:rPr>
      <w:sz w:val="18"/>
      <w:szCs w:val="18"/>
    </w:rPr>
  </w:style>
  <w:style w:type="paragraph" w:styleId="15">
    <w:name w:val="Normal (Web)"/>
    <w:basedOn w:val="1"/>
    <w:next w:val="16"/>
    <w:qFormat/>
    <w:uiPriority w:val="0"/>
    <w:pPr>
      <w:widowControl/>
      <w:spacing w:before="100" w:beforeAutospacing="1" w:after="100" w:afterAutospacing="1"/>
      <w:jc w:val="left"/>
    </w:pPr>
    <w:rPr>
      <w:rFonts w:ascii="宋体" w:hAnsi="宋体" w:cs="宋体"/>
      <w:kern w:val="0"/>
      <w:sz w:val="24"/>
    </w:rPr>
  </w:style>
  <w:style w:type="paragraph" w:customStyle="1" w:styleId="16">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b w:val="0"/>
      <w:kern w:val="2"/>
      <w:sz w:val="24"/>
      <w:szCs w:val="20"/>
    </w:rPr>
  </w:style>
  <w:style w:type="paragraph" w:styleId="17">
    <w:name w:val="Title"/>
    <w:basedOn w:val="1"/>
    <w:next w:val="1"/>
    <w:qFormat/>
    <w:uiPriority w:val="0"/>
    <w:pPr>
      <w:jc w:val="center"/>
      <w:outlineLvl w:val="0"/>
    </w:pPr>
    <w:rPr>
      <w:rFonts w:ascii="Cambria" w:hAnsi="Cambria"/>
      <w:b/>
      <w:bCs/>
      <w:kern w:val="0"/>
      <w:sz w:val="32"/>
      <w:szCs w:val="32"/>
    </w:rPr>
  </w:style>
  <w:style w:type="paragraph" w:styleId="18">
    <w:name w:val="Body Text First Indent"/>
    <w:basedOn w:val="7"/>
    <w:next w:val="19"/>
    <w:qFormat/>
    <w:uiPriority w:val="0"/>
    <w:pPr>
      <w:ind w:firstLine="420" w:firstLineChars="100"/>
    </w:pPr>
    <w:rPr>
      <w:rFonts w:ascii="Times New Roman" w:hAnsi="Times New Roman"/>
      <w:szCs w:val="20"/>
    </w:rPr>
  </w:style>
  <w:style w:type="paragraph" w:styleId="19">
    <w:name w:val="Body Text First Indent 2"/>
    <w:basedOn w:val="8"/>
    <w:next w:val="1"/>
    <w:qFormat/>
    <w:uiPriority w:val="99"/>
    <w:pPr>
      <w:tabs>
        <w:tab w:val="left" w:pos="4606"/>
      </w:tabs>
      <w:ind w:firstLine="420"/>
    </w:pPr>
  </w:style>
  <w:style w:type="table" w:styleId="21">
    <w:name w:val="Table Grid"/>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3">
    <w:name w:val="Strong"/>
    <w:basedOn w:val="22"/>
    <w:qFormat/>
    <w:uiPriority w:val="0"/>
    <w:rPr>
      <w:b/>
      <w:bCs/>
    </w:rPr>
  </w:style>
  <w:style w:type="character" w:styleId="24">
    <w:name w:val="Hyperlink"/>
    <w:basedOn w:val="22"/>
    <w:qFormat/>
    <w:uiPriority w:val="0"/>
    <w:rPr>
      <w:color w:val="0000FF"/>
      <w:u w:val="single"/>
    </w:rPr>
  </w:style>
  <w:style w:type="character" w:styleId="25">
    <w:name w:val="annotation reference"/>
    <w:basedOn w:val="22"/>
    <w:qFormat/>
    <w:uiPriority w:val="0"/>
    <w:rPr>
      <w:sz w:val="21"/>
      <w:szCs w:val="21"/>
    </w:rPr>
  </w:style>
  <w:style w:type="paragraph" w:customStyle="1" w:styleId="26">
    <w:name w:val="样式3"/>
    <w:basedOn w:val="10"/>
    <w:qFormat/>
    <w:uiPriority w:val="0"/>
    <w:pPr>
      <w:spacing w:line="0" w:lineRule="atLeast"/>
      <w:outlineLvl w:val="0"/>
    </w:pPr>
    <w:rPr>
      <w:sz w:val="28"/>
    </w:rPr>
  </w:style>
  <w:style w:type="character" w:customStyle="1" w:styleId="27">
    <w:name w:val="NormalCharacter"/>
    <w:semiHidden/>
    <w:qFormat/>
    <w:uiPriority w:val="0"/>
    <w:rPr>
      <w:kern w:val="2"/>
      <w:sz w:val="21"/>
      <w:szCs w:val="24"/>
      <w:lang w:val="en-US" w:eastAsia="zh-CN" w:bidi="ar-SA"/>
    </w:rPr>
  </w:style>
  <w:style w:type="paragraph" w:customStyle="1" w:styleId="28">
    <w:name w:val="Fließtext"/>
    <w:basedOn w:val="1"/>
    <w:qFormat/>
    <w:uiPriority w:val="0"/>
    <w:pPr>
      <w:overflowPunct w:val="0"/>
      <w:autoSpaceDE w:val="0"/>
      <w:autoSpaceDN w:val="0"/>
      <w:adjustRightInd w:val="0"/>
      <w:textAlignment w:val="baseline"/>
    </w:pPr>
    <w:rPr>
      <w:kern w:val="28"/>
      <w:szCs w:val="20"/>
    </w:rPr>
  </w:style>
  <w:style w:type="paragraph" w:customStyle="1" w:styleId="29">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0">
    <w:name w:val="apple-converted-space"/>
    <w:qFormat/>
    <w:uiPriority w:val="0"/>
    <w:rPr>
      <w:rFonts w:ascii="Times New Roman" w:hAnsi="Times New Roman" w:eastAsia="宋体" w:cs="Times New Roman"/>
    </w:rPr>
  </w:style>
  <w:style w:type="paragraph" w:customStyle="1" w:styleId="31">
    <w:name w:val="null3"/>
    <w:qFormat/>
    <w:uiPriority w:val="0"/>
    <w:rPr>
      <w:rFonts w:hint="eastAsia" w:ascii="Calibri" w:hAnsi="Calibri" w:eastAsia="宋体" w:cs="Times New Roman"/>
      <w:lang w:val="en-US" w:eastAsia="zh-CN" w:bidi="ar-SA"/>
    </w:rPr>
  </w:style>
  <w:style w:type="character" w:customStyle="1" w:styleId="32">
    <w:name w:val="页眉 Char"/>
    <w:basedOn w:val="22"/>
    <w:link w:val="14"/>
    <w:qFormat/>
    <w:uiPriority w:val="0"/>
    <w:rPr>
      <w:rFonts w:ascii="Calibri" w:hAnsi="Calibri"/>
      <w:kern w:val="2"/>
      <w:sz w:val="18"/>
      <w:szCs w:val="18"/>
    </w:rPr>
  </w:style>
  <w:style w:type="character" w:customStyle="1" w:styleId="33">
    <w:name w:val="批注框文本 Char"/>
    <w:basedOn w:val="22"/>
    <w:link w:val="1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50</Pages>
  <Words>23595</Words>
  <Characters>24609</Characters>
  <Lines>186</Lines>
  <Paragraphs>52</Paragraphs>
  <TotalTime>42</TotalTime>
  <ScaleCrop>false</ScaleCrop>
  <LinksUpToDate>false</LinksUpToDate>
  <CharactersWithSpaces>25333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w</cp:lastModifiedBy>
  <dcterms:modified xsi:type="dcterms:W3CDTF">2023-12-07T03:13:37Z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CC5857EE5BA84A1F9E7FF5E52888C8ED</vt:lpwstr>
  </property>
</Properties>
</file>