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72"/>
          <w:szCs w:val="72"/>
          <w:highlight w:val="none"/>
          <w:lang w:eastAsia="zh-CN"/>
        </w:rPr>
        <w:t xml:space="preserve">福建省司法厅2024年度机关文书档案整理及电子化服务项目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2"/>
        <w:spacing w:line="0" w:lineRule="atLeast"/>
        <w:rPr>
          <w:rFonts w:hAnsi="宋体"/>
          <w:b/>
          <w:color w:val="auto"/>
          <w:sz w:val="32"/>
          <w:highlight w:val="none"/>
        </w:rPr>
      </w:pPr>
    </w:p>
    <w:p w14:paraId="6CBF94AB">
      <w:pPr>
        <w:pStyle w:val="12"/>
        <w:spacing w:line="0" w:lineRule="atLeast"/>
        <w:jc w:val="center"/>
        <w:rPr>
          <w:rFonts w:hAnsi="宋体"/>
          <w:b/>
          <w:color w:val="auto"/>
          <w:sz w:val="36"/>
          <w:highlight w:val="none"/>
        </w:rPr>
      </w:pPr>
    </w:p>
    <w:p w14:paraId="0DC222AE">
      <w:pPr>
        <w:pStyle w:val="12"/>
        <w:spacing w:line="0" w:lineRule="atLeast"/>
        <w:jc w:val="both"/>
        <w:rPr>
          <w:rFonts w:hAnsi="宋体"/>
          <w:b/>
          <w:color w:val="auto"/>
          <w:sz w:val="36"/>
          <w:highlight w:val="none"/>
        </w:rPr>
      </w:pPr>
    </w:p>
    <w:p w14:paraId="0DD67B47">
      <w:pPr>
        <w:pStyle w:val="12"/>
        <w:spacing w:line="0" w:lineRule="atLeast"/>
        <w:jc w:val="both"/>
        <w:rPr>
          <w:rFonts w:hAnsi="宋体"/>
          <w:b/>
          <w:color w:val="auto"/>
          <w:sz w:val="36"/>
          <w:highlight w:val="none"/>
        </w:rPr>
      </w:pPr>
    </w:p>
    <w:p w14:paraId="7F3ECCF0">
      <w:pPr>
        <w:pStyle w:val="12"/>
        <w:spacing w:line="0" w:lineRule="atLeast"/>
        <w:jc w:val="both"/>
        <w:rPr>
          <w:rFonts w:hAnsi="宋体"/>
          <w:b/>
          <w:color w:val="auto"/>
          <w:sz w:val="36"/>
          <w:highlight w:val="none"/>
        </w:rPr>
      </w:pPr>
    </w:p>
    <w:p w14:paraId="65572771">
      <w:pPr>
        <w:pStyle w:val="12"/>
        <w:spacing w:line="400" w:lineRule="exact"/>
        <w:rPr>
          <w:rFonts w:hAnsi="宋体"/>
          <w:b/>
          <w:color w:val="auto"/>
          <w:sz w:val="36"/>
          <w:highlight w:val="none"/>
        </w:rPr>
      </w:pPr>
    </w:p>
    <w:p w14:paraId="31591C01">
      <w:pPr>
        <w:pStyle w:val="12"/>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JJZB-WJ-2025005</w:t>
      </w:r>
    </w:p>
    <w:p w14:paraId="5124A7E9">
      <w:pPr>
        <w:pStyle w:val="12"/>
        <w:spacing w:line="640" w:lineRule="exact"/>
        <w:jc w:val="center"/>
        <w:rPr>
          <w:rFonts w:hint="eastAsia" w:hAnsi="宋体"/>
          <w:b/>
          <w:color w:val="auto"/>
          <w:sz w:val="32"/>
          <w:szCs w:val="32"/>
          <w:highlight w:val="none"/>
        </w:rPr>
      </w:pPr>
      <w:r>
        <w:rPr>
          <w:rFonts w:hint="eastAsia" w:hAnsi="宋体"/>
          <w:b/>
          <w:color w:val="auto"/>
          <w:sz w:val="32"/>
          <w:szCs w:val="32"/>
          <w:highlight w:val="none"/>
        </w:rPr>
        <w:t>项目名称：福建省司法厅2024年度机关文书档案整理及电子化</w:t>
      </w:r>
    </w:p>
    <w:p w14:paraId="3B6677F5">
      <w:pPr>
        <w:pStyle w:val="12"/>
        <w:spacing w:line="640" w:lineRule="exact"/>
        <w:jc w:val="center"/>
        <w:rPr>
          <w:rFonts w:hint="eastAsia" w:hAnsi="宋体"/>
          <w:b/>
          <w:color w:val="auto"/>
          <w:sz w:val="32"/>
          <w:szCs w:val="32"/>
          <w:highlight w:val="none"/>
        </w:rPr>
      </w:pPr>
      <w:r>
        <w:rPr>
          <w:rFonts w:hint="eastAsia" w:hAnsi="宋体"/>
          <w:b/>
          <w:color w:val="auto"/>
          <w:sz w:val="32"/>
          <w:szCs w:val="32"/>
          <w:highlight w:val="none"/>
        </w:rPr>
        <w:t>服务项目</w:t>
      </w:r>
    </w:p>
    <w:p w14:paraId="4D39A686">
      <w:pPr>
        <w:pStyle w:val="12"/>
        <w:spacing w:line="640" w:lineRule="exact"/>
        <w:jc w:val="center"/>
        <w:rPr>
          <w:rFonts w:hint="eastAsia" w:hAnsi="宋体"/>
          <w:b/>
          <w:color w:val="auto"/>
          <w:sz w:val="32"/>
          <w:szCs w:val="32"/>
          <w:highlight w:val="none"/>
          <w:lang w:eastAsia="zh-CN"/>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福建省司法厅</w:t>
      </w:r>
    </w:p>
    <w:p w14:paraId="66206693">
      <w:pPr>
        <w:pStyle w:val="12"/>
        <w:spacing w:line="640" w:lineRule="exact"/>
        <w:jc w:val="center"/>
        <w:rPr>
          <w:rFonts w:hint="eastAsia" w:hAnsi="宋体"/>
          <w:b/>
          <w:color w:val="auto"/>
          <w:sz w:val="32"/>
          <w:szCs w:val="32"/>
          <w:highlight w:val="none"/>
          <w:lang w:eastAsia="zh-CN"/>
        </w:rPr>
      </w:pPr>
    </w:p>
    <w:p w14:paraId="139BD949">
      <w:pPr>
        <w:pStyle w:val="5"/>
        <w:jc w:val="both"/>
        <w:rPr>
          <w:rFonts w:hint="default"/>
          <w:color w:val="auto"/>
          <w:sz w:val="48"/>
          <w:highlight w:val="none"/>
        </w:rPr>
      </w:pPr>
    </w:p>
    <w:p w14:paraId="068EB945">
      <w:pPr>
        <w:pStyle w:val="12"/>
        <w:rPr>
          <w:rFonts w:hint="default"/>
        </w:rPr>
      </w:pPr>
    </w:p>
    <w:p w14:paraId="27374161">
      <w:pPr>
        <w:pStyle w:val="12"/>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八</w:t>
      </w:r>
      <w:r>
        <w:rPr>
          <w:rFonts w:hint="eastAsia" w:ascii="宋体" w:hAnsi="宋体"/>
          <w:b/>
          <w:color w:val="auto"/>
          <w:sz w:val="32"/>
          <w:szCs w:val="32"/>
          <w:highlight w:val="none"/>
        </w:rPr>
        <w:t>月</w:t>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福建省司法厅2024年度机关文书档案整理及电子化服务项目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bookmarkStart w:id="8" w:name="_GoBack"/>
      <w:bookmarkEnd w:id="8"/>
    </w:p>
    <w:p w14:paraId="51ACBC72">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JJZB-WJ-2025005</w:t>
      </w:r>
    </w:p>
    <w:p w14:paraId="436DF575">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default" w:ascii="宋体" w:hAnsi="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福建省司法厅2024年度机关文书档案整理及电子化服务项目</w:t>
      </w:r>
    </w:p>
    <w:p w14:paraId="494DC9FF">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w:t>
      </w:r>
      <w:r>
        <w:rPr>
          <w:rFonts w:hint="eastAsia" w:ascii="宋体" w:hAnsi="宋体" w:cs="宋体"/>
          <w:b/>
          <w:color w:val="auto"/>
          <w:sz w:val="24"/>
          <w:highlight w:val="none"/>
          <w:lang w:val="en-US" w:eastAsia="zh-CN"/>
        </w:rPr>
        <w:t>服务</w:t>
      </w:r>
      <w:r>
        <w:rPr>
          <w:rFonts w:hint="eastAsia" w:ascii="宋体" w:hAnsi="宋体" w:eastAsia="宋体" w:cs="宋体"/>
          <w:b/>
          <w:color w:val="auto"/>
          <w:sz w:val="24"/>
          <w:highlight w:val="none"/>
        </w:rPr>
        <w:t>名称、数量及主要技术规格售后服务要求等详见“第</w:t>
      </w:r>
      <w:r>
        <w:rPr>
          <w:rFonts w:hint="eastAsia" w:ascii="宋体" w:hAnsi="宋体" w:cs="宋体"/>
          <w:b/>
          <w:color w:val="auto"/>
          <w:sz w:val="24"/>
          <w:highlight w:val="none"/>
          <w:lang w:val="en-US" w:eastAsia="zh-CN"/>
        </w:rPr>
        <w:t>三</w:t>
      </w:r>
      <w:r>
        <w:rPr>
          <w:rFonts w:hint="eastAsia" w:ascii="宋体" w:hAnsi="宋体" w:eastAsia="宋体" w:cs="宋体"/>
          <w:b/>
          <w:color w:val="auto"/>
          <w:sz w:val="24"/>
          <w:highlight w:val="none"/>
        </w:rPr>
        <w:t>章 网上竞价内容及要求”</w:t>
      </w:r>
      <w:r>
        <w:rPr>
          <w:rFonts w:hint="eastAsia" w:ascii="宋体" w:hAnsi="宋体" w:eastAsia="宋体" w:cs="宋体"/>
          <w:b/>
          <w:color w:val="auto"/>
          <w:kern w:val="0"/>
          <w:sz w:val="24"/>
          <w:highlight w:val="none"/>
        </w:rPr>
        <w:t>。</w:t>
      </w:r>
    </w:p>
    <w:p w14:paraId="714D4C68">
      <w:pPr>
        <w:pStyle w:val="18"/>
        <w:keepNext w:val="0"/>
        <w:keepLines w:val="0"/>
        <w:pageBreakBefore w:val="0"/>
        <w:kinsoku/>
        <w:overflowPunct/>
        <w:topLinePunct w:val="0"/>
        <w:autoSpaceDE/>
        <w:autoSpaceDN/>
        <w:bidi w:val="0"/>
        <w:adjustRightInd/>
        <w:snapToGrid/>
        <w:spacing w:before="0" w:beforeAutospacing="0" w:after="0" w:afterAutospacing="0" w:line="49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12</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14</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15</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15</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31"/>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default" w:ascii="宋体" w:hAnsi="宋体" w:eastAsia="宋体" w:cs="宋体"/>
          <w:color w:val="auto"/>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eastAsia="宋体" w:cs="宋体"/>
          <w:color w:val="auto"/>
          <w:sz w:val="24"/>
          <w:highlight w:val="none"/>
          <w:lang w:val="en-US" w:eastAsia="zh-CN"/>
        </w:rPr>
        <w:t>①</w:t>
      </w:r>
      <w:r>
        <w:rPr>
          <w:rFonts w:hint="eastAsia" w:ascii="宋体" w:hAnsi="宋体" w:eastAsia="宋体" w:cs="宋体"/>
          <w:color w:val="auto"/>
          <w:sz w:val="24"/>
          <w:highlight w:val="none"/>
        </w:rPr>
        <w:t>根据国家保密局、国家市场监督管理总局令〔2020〕2号《国家秘密载体印制资质管理办法》规定，</w:t>
      </w:r>
      <w:r>
        <w:rPr>
          <w:rFonts w:hint="eastAsia" w:ascii="宋体" w:hAnsi="宋体" w:eastAsia="宋体" w:cs="宋体"/>
          <w:color w:val="auto"/>
          <w:sz w:val="24"/>
          <w:highlight w:val="none"/>
          <w:lang w:val="en-US" w:eastAsia="zh-CN"/>
        </w:rPr>
        <w:t>供应商</w:t>
      </w:r>
      <w:r>
        <w:rPr>
          <w:rFonts w:hint="eastAsia" w:ascii="宋体" w:hAnsi="宋体" w:eastAsia="宋体" w:cs="宋体"/>
          <w:color w:val="auto"/>
          <w:sz w:val="24"/>
          <w:highlight w:val="none"/>
        </w:rPr>
        <w:t>须具备省级及以上国家保密行政管理部门授予的《国家秘密载体印制资质证书》涉密档案数字化类乙级（含乙级）以上证书；乙级资质单位拟在注册地的省级行政区域外承接涉密印制业务的，应当向业务所在地的省级保密行政管理部门备案。</w:t>
      </w:r>
      <w:r>
        <w:rPr>
          <w:rFonts w:hint="eastAsia" w:ascii="宋体" w:hAnsi="宋体" w:eastAsia="宋体" w:cs="宋体"/>
          <w:b/>
          <w:bCs/>
          <w:color w:val="auto"/>
          <w:sz w:val="24"/>
          <w:highlight w:val="none"/>
          <w:lang w:eastAsia="zh-CN"/>
        </w:rPr>
        <w:t>（</w:t>
      </w:r>
      <w:r>
        <w:rPr>
          <w:rFonts w:hint="eastAsia" w:ascii="宋体" w:hAnsi="宋体" w:eastAsia="宋体" w:cs="宋体"/>
          <w:b/>
          <w:bCs/>
          <w:color w:val="auto"/>
          <w:sz w:val="24"/>
          <w:highlight w:val="none"/>
          <w:lang w:val="en-US" w:eastAsia="zh-CN"/>
        </w:rPr>
        <w:t>供应商</w:t>
      </w:r>
      <w:r>
        <w:rPr>
          <w:rFonts w:hint="eastAsia" w:ascii="宋体" w:hAnsi="宋体" w:eastAsia="宋体" w:cs="宋体"/>
          <w:b/>
          <w:bCs/>
          <w:color w:val="auto"/>
          <w:sz w:val="24"/>
          <w:highlight w:val="none"/>
        </w:rPr>
        <w:t>须提供有效的国家秘密载体印制资质乙级及以上（档案数字化类）证书复印件；若</w:t>
      </w:r>
      <w:r>
        <w:rPr>
          <w:rFonts w:hint="eastAsia" w:ascii="宋体" w:hAnsi="宋体" w:eastAsia="宋体" w:cs="宋体"/>
          <w:b/>
          <w:bCs/>
          <w:color w:val="auto"/>
          <w:sz w:val="24"/>
          <w:highlight w:val="none"/>
          <w:lang w:val="en-US" w:eastAsia="zh-CN"/>
        </w:rPr>
        <w:t>供应商</w:t>
      </w:r>
      <w:r>
        <w:rPr>
          <w:rFonts w:hint="eastAsia" w:ascii="宋体" w:hAnsi="宋体" w:eastAsia="宋体" w:cs="宋体"/>
          <w:b/>
          <w:bCs/>
          <w:color w:val="auto"/>
          <w:sz w:val="24"/>
          <w:highlight w:val="none"/>
        </w:rPr>
        <w:t>为福建省外具备乙级资质的企业，还须提供经福建省保密行政管理部门批准的相关证明材料复印件</w:t>
      </w:r>
      <w:r>
        <w:rPr>
          <w:rFonts w:hint="eastAsia" w:ascii="宋体" w:hAnsi="宋体" w:eastAsia="宋体" w:cs="宋体"/>
          <w:b/>
          <w:bCs/>
          <w:color w:val="auto"/>
          <w:sz w:val="24"/>
          <w:highlight w:val="none"/>
          <w:lang w:eastAsia="zh-CN"/>
        </w:rPr>
        <w:t>）</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②供应商</w:t>
      </w:r>
      <w:r>
        <w:rPr>
          <w:rFonts w:hint="eastAsia" w:ascii="宋体" w:hAnsi="宋体" w:eastAsia="宋体" w:cs="宋体"/>
          <w:color w:val="auto"/>
          <w:sz w:val="24"/>
          <w:highlight w:val="none"/>
        </w:rPr>
        <w:t>须具备市级或以上档案部门授予的“档案服务机构备案证”</w:t>
      </w:r>
      <w:r>
        <w:rPr>
          <w:rFonts w:hint="eastAsia" w:ascii="宋体" w:hAnsi="宋体" w:eastAsia="宋体" w:cs="宋体"/>
          <w:color w:val="auto"/>
          <w:sz w:val="24"/>
          <w:highlight w:val="none"/>
          <w:lang w:eastAsia="zh-CN"/>
        </w:rPr>
        <w:t>。</w:t>
      </w:r>
      <w:r>
        <w:rPr>
          <w:rFonts w:hint="eastAsia" w:ascii="宋体" w:hAnsi="宋体" w:eastAsia="宋体" w:cs="宋体"/>
          <w:b/>
          <w:bCs/>
          <w:color w:val="auto"/>
          <w:sz w:val="24"/>
          <w:highlight w:val="none"/>
          <w:lang w:eastAsia="zh-CN"/>
        </w:rPr>
        <w:t>（</w:t>
      </w:r>
      <w:r>
        <w:rPr>
          <w:rFonts w:hint="eastAsia" w:ascii="宋体" w:hAnsi="宋体" w:eastAsia="宋体" w:cs="宋体"/>
          <w:b/>
          <w:bCs/>
          <w:color w:val="auto"/>
          <w:sz w:val="24"/>
          <w:highlight w:val="none"/>
        </w:rPr>
        <w:t>须提供</w:t>
      </w:r>
      <w:r>
        <w:rPr>
          <w:rFonts w:hint="eastAsia" w:ascii="宋体" w:hAnsi="宋体" w:eastAsia="宋体" w:cs="宋体"/>
          <w:b/>
          <w:bCs/>
          <w:color w:val="auto"/>
          <w:sz w:val="24"/>
          <w:highlight w:val="none"/>
          <w:lang w:val="en-US" w:eastAsia="zh-CN"/>
        </w:rPr>
        <w:t>有效证书</w:t>
      </w:r>
      <w:r>
        <w:rPr>
          <w:rFonts w:hint="eastAsia" w:ascii="宋体" w:hAnsi="宋体" w:eastAsia="宋体" w:cs="宋体"/>
          <w:b/>
          <w:bCs/>
          <w:color w:val="auto"/>
          <w:sz w:val="24"/>
          <w:highlight w:val="none"/>
        </w:rPr>
        <w:t>复印件</w:t>
      </w:r>
      <w:r>
        <w:rPr>
          <w:rFonts w:hint="eastAsia" w:ascii="宋体" w:hAnsi="宋体" w:eastAsia="宋体" w:cs="宋体"/>
          <w:b/>
          <w:bCs/>
          <w:color w:val="auto"/>
          <w:sz w:val="24"/>
          <w:highlight w:val="none"/>
          <w:lang w:eastAsia="zh-CN"/>
        </w:rPr>
        <w:t>）</w:t>
      </w:r>
    </w:p>
    <w:p w14:paraId="0F2CF48F">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90" w:lineRule="exact"/>
        <w:ind w:left="0" w:firstLine="480" w:firstLineChars="200"/>
        <w:jc w:val="left"/>
        <w:textAlignment w:val="auto"/>
        <w:rPr>
          <w:rStyle w:val="32"/>
          <w:rFonts w:hint="eastAsia" w:ascii="宋体" w:hAnsi="宋体" w:eastAsia="宋体" w:cs="宋体"/>
          <w:color w:val="auto"/>
          <w:highlight w:val="none"/>
        </w:rPr>
      </w:pPr>
      <w:r>
        <w:rPr>
          <w:rStyle w:val="32"/>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w:t>
      </w:r>
      <w:r>
        <w:rPr>
          <w:rFonts w:hint="eastAsia" w:ascii="宋体" w:hAnsi="宋体" w:cs="宋体"/>
          <w:color w:val="auto"/>
          <w:sz w:val="24"/>
          <w:highlight w:val="none"/>
          <w:lang w:val="en-US" w:eastAsia="zh-CN"/>
        </w:rPr>
        <w:t>网上竞价</w:t>
      </w:r>
      <w:r>
        <w:rPr>
          <w:rFonts w:hint="eastAsia" w:ascii="宋体" w:hAnsi="宋体" w:eastAsia="宋体" w:cs="宋体"/>
          <w:color w:val="auto"/>
          <w:sz w:val="24"/>
          <w:highlight w:val="none"/>
        </w:rPr>
        <w:t>公告附件中获取网上竞价文件。</w:t>
      </w:r>
    </w:p>
    <w:p w14:paraId="1A8BA73F">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9</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8FE00C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cs="宋体"/>
          <w:color w:val="auto"/>
          <w:sz w:val="24"/>
          <w:highlight w:val="none"/>
          <w:lang w:val="en-US" w:eastAsia="zh-CN"/>
        </w:rPr>
        <w:t>本项目代理服务费以</w:t>
      </w:r>
      <w:r>
        <w:rPr>
          <w:rFonts w:hint="eastAsia" w:ascii="宋体" w:hAnsi="宋体" w:eastAsia="宋体" w:cs="宋体"/>
          <w:color w:val="auto"/>
          <w:sz w:val="24"/>
          <w:highlight w:val="none"/>
        </w:rPr>
        <w:t>成交金额</w:t>
      </w:r>
      <w:r>
        <w:rPr>
          <w:rFonts w:hint="eastAsia" w:ascii="宋体" w:hAnsi="宋体" w:cs="宋体"/>
          <w:color w:val="auto"/>
          <w:sz w:val="24"/>
          <w:highlight w:val="none"/>
          <w:lang w:val="en-US" w:eastAsia="zh-CN"/>
        </w:rPr>
        <w:t>为基数，按</w:t>
      </w:r>
      <w:r>
        <w:rPr>
          <w:rFonts w:hint="eastAsia" w:ascii="宋体" w:hAnsi="宋体" w:eastAsia="宋体" w:cs="宋体"/>
          <w:color w:val="auto"/>
          <w:sz w:val="24"/>
          <w:highlight w:val="none"/>
        </w:rPr>
        <w:t>差额定率累进法计算后，</w:t>
      </w:r>
      <w:r>
        <w:rPr>
          <w:rFonts w:hint="eastAsia" w:ascii="宋体" w:hAnsi="宋体" w:cs="宋体"/>
          <w:color w:val="auto"/>
          <w:sz w:val="24"/>
          <w:highlight w:val="none"/>
          <w:lang w:val="en-US" w:eastAsia="zh-CN"/>
        </w:rPr>
        <w:t>向</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服务费比率</w:t>
      </w:r>
      <w:r>
        <w:rPr>
          <w:rFonts w:hint="eastAsia" w:ascii="宋体" w:hAnsi="宋体" w:cs="宋体"/>
          <w:color w:val="auto"/>
          <w:sz w:val="24"/>
          <w:highlight w:val="none"/>
          <w:lang w:val="en-US" w:eastAsia="zh-CN"/>
        </w:rPr>
        <w:t>为</w:t>
      </w:r>
      <w:r>
        <w:rPr>
          <w:rFonts w:hint="eastAsia" w:ascii="宋体" w:hAnsi="宋体" w:eastAsia="宋体" w:cs="宋体"/>
          <w:color w:val="auto"/>
          <w:sz w:val="24"/>
          <w:highlight w:val="none"/>
        </w:rPr>
        <w:t>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w:t>
      </w:r>
    </w:p>
    <w:p w14:paraId="1E60767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cs="宋体"/>
          <w:color w:val="auto"/>
          <w:sz w:val="24"/>
          <w:highlight w:val="none"/>
          <w:lang w:eastAsia="zh-CN"/>
        </w:rPr>
        <w:t>：</w:t>
      </w:r>
      <w:r>
        <w:rPr>
          <w:rFonts w:hint="eastAsia" w:ascii="宋体" w:hAnsi="宋体" w:eastAsia="宋体" w:cs="宋体"/>
          <w:color w:val="auto"/>
          <w:sz w:val="24"/>
          <w:szCs w:val="24"/>
          <w:highlight w:val="none"/>
          <w:lang w:eastAsia="zh-CN"/>
        </w:rPr>
        <w:t xml:space="preserve">谢先生  0591-83725411 </w:t>
      </w:r>
      <w:r>
        <w:rPr>
          <w:rFonts w:hint="eastAsia" w:ascii="宋体" w:hAnsi="宋体" w:cs="宋体"/>
          <w:color w:val="auto"/>
          <w:sz w:val="24"/>
          <w:szCs w:val="24"/>
          <w:highlight w:val="none"/>
          <w:lang w:val="en-US" w:eastAsia="zh-CN"/>
        </w:rPr>
        <w:t xml:space="preserve">  </w:t>
      </w:r>
    </w:p>
    <w:p w14:paraId="06556C55">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4"/>
        <w:keepNext w:val="0"/>
        <w:keepLines w:val="0"/>
        <w:pageBreakBefore w:val="0"/>
        <w:kinsoku/>
        <w:overflowPunct/>
        <w:topLinePunct w:val="0"/>
        <w:autoSpaceDE/>
        <w:autoSpaceDN/>
        <w:bidi w:val="0"/>
        <w:adjustRightInd/>
        <w:snapToGrid/>
        <w:spacing w:beforeAutospacing="0" w:afterAutospacing="0" w:line="490" w:lineRule="exact"/>
        <w:ind w:firstLine="480" w:firstLineChars="200"/>
        <w:textAlignment w:val="auto"/>
        <w:rPr>
          <w:rFonts w:hint="default" w:ascii="宋体" w:hAnsi="宋体" w:eastAsia="宋体" w:cs="宋体"/>
          <w:b w:val="0"/>
          <w:color w:val="auto"/>
          <w:kern w:val="2"/>
          <w:sz w:val="24"/>
          <w:szCs w:val="24"/>
          <w:highlight w:val="none"/>
          <w:lang w:val="en-US"/>
        </w:rPr>
      </w:pPr>
      <w:r>
        <w:rPr>
          <w:rFonts w:hint="eastAsia" w:cs="宋体"/>
          <w:b w:val="0"/>
          <w:color w:val="auto"/>
          <w:kern w:val="2"/>
          <w:sz w:val="24"/>
          <w:szCs w:val="24"/>
          <w:highlight w:val="none"/>
          <w:lang w:val="en-US" w:eastAsia="zh-CN"/>
        </w:rPr>
        <w:t>福建省司法厅，网址：http://sft.fujian.gov.cn/；</w:t>
      </w:r>
    </w:p>
    <w:p w14:paraId="27255A3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2"/>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1"/>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1"/>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32"/>
          <w:rFonts w:ascii="宋体" w:hAnsi="宋体"/>
          <w:b/>
          <w:bCs/>
          <w:color w:val="auto"/>
          <w:kern w:val="0"/>
          <w:sz w:val="24"/>
          <w:highlight w:val="none"/>
        </w:rPr>
      </w:pPr>
      <w:r>
        <w:rPr>
          <w:rStyle w:val="32"/>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2"/>
          <w:rFonts w:ascii="宋体" w:hAnsi="宋体" w:cs="宋体"/>
          <w:color w:val="auto"/>
          <w:kern w:val="0"/>
          <w:sz w:val="24"/>
          <w:highlight w:val="none"/>
        </w:rPr>
      </w:pPr>
      <w:r>
        <w:rPr>
          <w:rStyle w:val="32"/>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2"/>
          <w:rFonts w:hint="eastAsia" w:ascii="宋体" w:hAnsi="宋体" w:cs="宋体"/>
          <w:color w:val="auto"/>
          <w:sz w:val="24"/>
          <w:highlight w:val="none"/>
        </w:rPr>
        <w:t>按本文件第五章“第一部分 资格及技术商务部分”格式制作报名审核文件，并在规定的</w:t>
      </w:r>
      <w:r>
        <w:rPr>
          <w:rStyle w:val="32"/>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2"/>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8"/>
        <w:keepNext w:val="0"/>
        <w:keepLines w:val="0"/>
        <w:pageBreakBefore w:val="0"/>
        <w:shd w:val="clear"/>
        <w:kinsoku/>
        <w:topLinePunct w:val="0"/>
        <w:bidi w:val="0"/>
        <w:spacing w:before="0" w:beforeAutospacing="0" w:after="0" w:afterAutospacing="0" w:line="400" w:lineRule="exact"/>
        <w:ind w:firstLine="480"/>
        <w:rPr>
          <w:rStyle w:val="32"/>
          <w:rFonts w:ascii="Times New Roman" w:hAnsi="Times New Roman" w:cs="Times New Roman"/>
          <w:b/>
          <w:bCs/>
          <w:color w:val="auto"/>
          <w:sz w:val="24"/>
          <w:highlight w:val="none"/>
        </w:rPr>
      </w:pPr>
      <w:r>
        <w:rPr>
          <w:rFonts w:hint="eastAsia"/>
          <w:color w:val="auto"/>
          <w:highlight w:val="none"/>
        </w:rPr>
        <w:t>3.</w:t>
      </w:r>
      <w:r>
        <w:rPr>
          <w:rStyle w:val="32"/>
          <w:rFonts w:hint="eastAsia"/>
          <w:color w:val="auto"/>
          <w:sz w:val="24"/>
          <w:highlight w:val="none"/>
        </w:rPr>
        <w:t>供应商提交的响应文件符合网上竞价文件要求的（即不存在网上竞价文件中规定的无效响应情形的）方可在网上竞价时间内参与竞价</w:t>
      </w:r>
      <w:r>
        <w:rPr>
          <w:rStyle w:val="32"/>
          <w:color w:val="auto"/>
          <w:sz w:val="24"/>
          <w:highlight w:val="none"/>
        </w:rPr>
        <w:t>。</w:t>
      </w:r>
      <w:r>
        <w:rPr>
          <w:rStyle w:val="32"/>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2"/>
          <w:rFonts w:ascii="Times New Roman" w:hAnsi="Times New Roman" w:cs="Times New Roman"/>
          <w:color w:val="auto"/>
          <w:highlight w:val="none"/>
        </w:rPr>
        <w:t>力</w:t>
      </w:r>
      <w:r>
        <w:rPr>
          <w:rStyle w:val="32"/>
          <w:rFonts w:hint="eastAsia" w:ascii="Times New Roman" w:hAnsi="Times New Roman" w:cs="Times New Roman"/>
          <w:color w:val="auto"/>
          <w:sz w:val="24"/>
          <w:highlight w:val="none"/>
        </w:rPr>
        <w:t>。</w:t>
      </w:r>
      <w:r>
        <w:rPr>
          <w:rStyle w:val="32"/>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2"/>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8"/>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47312A6D">
      <w:pPr>
        <w:pStyle w:val="3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3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33"/>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2"/>
          <w:rFonts w:hint="eastAsia" w:ascii="宋体" w:hAnsi="宋体"/>
          <w:b/>
          <w:bCs/>
          <w:color w:val="auto"/>
          <w:kern w:val="0"/>
          <w:sz w:val="24"/>
          <w:highlight w:val="none"/>
        </w:rPr>
        <w:t>三、网上</w:t>
      </w:r>
      <w:r>
        <w:rPr>
          <w:rStyle w:val="32"/>
          <w:rFonts w:ascii="宋体" w:hAnsi="宋体"/>
          <w:b/>
          <w:bCs/>
          <w:color w:val="auto"/>
          <w:kern w:val="0"/>
          <w:sz w:val="24"/>
          <w:highlight w:val="none"/>
        </w:rPr>
        <w:t>竞价规则</w:t>
      </w:r>
    </w:p>
    <w:p w14:paraId="219E7907">
      <w:pPr>
        <w:pStyle w:val="18"/>
        <w:keepNext w:val="0"/>
        <w:keepLines w:val="0"/>
        <w:pageBreakBefore w:val="0"/>
        <w:kinsoku/>
        <w:topLinePunct w:val="0"/>
        <w:bidi w:val="0"/>
        <w:spacing w:before="0" w:beforeAutospacing="0" w:after="0" w:afterAutospacing="0" w:line="400" w:lineRule="exact"/>
        <w:ind w:firstLine="480"/>
        <w:rPr>
          <w:rStyle w:val="32"/>
          <w:rFonts w:hint="eastAsia" w:ascii="宋体" w:hAnsi="宋体" w:eastAsia="宋体" w:cs="Times New Roman"/>
          <w:b/>
          <w:bCs/>
          <w:color w:val="auto"/>
          <w:kern w:val="0"/>
          <w:sz w:val="24"/>
          <w:highlight w:val="none"/>
        </w:rPr>
      </w:pPr>
      <w:r>
        <w:rPr>
          <w:rFonts w:hint="eastAsia"/>
          <w:color w:val="auto"/>
          <w:highlight w:val="none"/>
        </w:rPr>
        <w:t>1.</w:t>
      </w:r>
      <w:r>
        <w:rPr>
          <w:rStyle w:val="32"/>
          <w:color w:val="auto"/>
          <w:kern w:val="0"/>
          <w:sz w:val="24"/>
          <w:highlight w:val="none"/>
        </w:rPr>
        <w:t>网上竞价的报价时限为</w:t>
      </w:r>
      <w:r>
        <w:rPr>
          <w:rStyle w:val="32"/>
          <w:rFonts w:hint="eastAsia"/>
          <w:color w:val="auto"/>
          <w:kern w:val="0"/>
          <w:sz w:val="24"/>
          <w:highlight w:val="none"/>
        </w:rPr>
        <w:t>网上竞价开始时间起至网上竞价截止时间止，在此期间内</w:t>
      </w:r>
      <w:r>
        <w:rPr>
          <w:rStyle w:val="32"/>
          <w:color w:val="auto"/>
          <w:kern w:val="0"/>
          <w:sz w:val="24"/>
          <w:highlight w:val="none"/>
        </w:rPr>
        <w:t>，报名审核</w:t>
      </w:r>
      <w:r>
        <w:rPr>
          <w:rStyle w:val="32"/>
          <w:rFonts w:hint="eastAsia"/>
          <w:color w:val="auto"/>
          <w:kern w:val="0"/>
          <w:sz w:val="24"/>
          <w:highlight w:val="none"/>
        </w:rPr>
        <w:t>通过</w:t>
      </w:r>
      <w:r>
        <w:rPr>
          <w:rStyle w:val="32"/>
          <w:color w:val="auto"/>
          <w:kern w:val="0"/>
          <w:sz w:val="24"/>
          <w:highlight w:val="none"/>
        </w:rPr>
        <w:t>的</w:t>
      </w:r>
      <w:r>
        <w:rPr>
          <w:rStyle w:val="32"/>
          <w:rFonts w:hint="eastAsia"/>
          <w:color w:val="auto"/>
          <w:kern w:val="0"/>
          <w:sz w:val="24"/>
          <w:highlight w:val="none"/>
        </w:rPr>
        <w:t>供应商</w:t>
      </w:r>
      <w:r>
        <w:rPr>
          <w:rStyle w:val="32"/>
          <w:color w:val="auto"/>
          <w:kern w:val="0"/>
          <w:sz w:val="24"/>
          <w:highlight w:val="none"/>
        </w:rPr>
        <w:t>可通过</w:t>
      </w:r>
      <w:r>
        <w:rPr>
          <w:rStyle w:val="32"/>
          <w:rFonts w:hint="eastAsia"/>
          <w:color w:val="auto"/>
          <w:kern w:val="0"/>
          <w:sz w:val="24"/>
          <w:highlight w:val="none"/>
        </w:rPr>
        <w:t>网上竞价平台</w:t>
      </w:r>
      <w:r>
        <w:rPr>
          <w:rStyle w:val="32"/>
          <w:color w:val="auto"/>
          <w:kern w:val="0"/>
          <w:sz w:val="24"/>
          <w:highlight w:val="none"/>
        </w:rPr>
        <w:t>参与</w:t>
      </w:r>
      <w:r>
        <w:rPr>
          <w:rStyle w:val="32"/>
          <w:rFonts w:hint="eastAsia"/>
          <w:color w:val="auto"/>
          <w:kern w:val="0"/>
          <w:sz w:val="24"/>
          <w:highlight w:val="none"/>
        </w:rPr>
        <w:t>网上</w:t>
      </w:r>
      <w:r>
        <w:rPr>
          <w:rStyle w:val="32"/>
          <w:color w:val="auto"/>
          <w:kern w:val="0"/>
          <w:sz w:val="24"/>
          <w:highlight w:val="none"/>
        </w:rPr>
        <w:t>竞价（不限报价次数，在规定时间内提交报价均可）。</w:t>
      </w:r>
      <w:r>
        <w:rPr>
          <w:rStyle w:val="32"/>
          <w:rFonts w:hint="eastAsia" w:ascii="宋体" w:hAnsi="宋体" w:eastAsia="宋体" w:cs="Times New Roman"/>
          <w:b/>
          <w:bCs/>
          <w:color w:val="auto"/>
          <w:kern w:val="0"/>
          <w:sz w:val="24"/>
          <w:highlight w:val="none"/>
        </w:rPr>
        <w:t>至网上竞价截止时间止，</w:t>
      </w:r>
      <w:r>
        <w:rPr>
          <w:rStyle w:val="32"/>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2"/>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32"/>
          <w:rFonts w:ascii="宋体" w:hAnsi="宋体"/>
          <w:color w:val="auto"/>
          <w:kern w:val="0"/>
          <w:sz w:val="24"/>
          <w:highlight w:val="none"/>
        </w:rPr>
      </w:pPr>
      <w:r>
        <w:rPr>
          <w:rStyle w:val="32"/>
          <w:rFonts w:hint="eastAsia" w:ascii="宋体" w:hAnsi="宋体"/>
          <w:b w:val="0"/>
          <w:bCs w:val="0"/>
          <w:color w:val="auto"/>
          <w:kern w:val="0"/>
          <w:sz w:val="24"/>
          <w:highlight w:val="none"/>
        </w:rPr>
        <w:t>2.</w:t>
      </w:r>
      <w:r>
        <w:rPr>
          <w:rStyle w:val="32"/>
          <w:rFonts w:hint="eastAsia" w:ascii="宋体" w:hAnsi="宋体"/>
          <w:b/>
          <w:bCs/>
          <w:color w:val="auto"/>
          <w:kern w:val="0"/>
          <w:sz w:val="24"/>
          <w:highlight w:val="none"/>
        </w:rPr>
        <w:t>供应商</w:t>
      </w:r>
      <w:r>
        <w:rPr>
          <w:rStyle w:val="32"/>
          <w:rFonts w:ascii="宋体" w:hAnsi="宋体"/>
          <w:b/>
          <w:bCs/>
          <w:color w:val="auto"/>
          <w:kern w:val="0"/>
          <w:sz w:val="24"/>
          <w:highlight w:val="none"/>
        </w:rPr>
        <w:t>首次提交的报价</w:t>
      </w:r>
      <w:r>
        <w:rPr>
          <w:rStyle w:val="32"/>
          <w:rFonts w:hint="eastAsia" w:ascii="宋体" w:hAnsi="宋体"/>
          <w:b/>
          <w:bCs/>
          <w:color w:val="auto"/>
          <w:kern w:val="0"/>
          <w:sz w:val="24"/>
          <w:highlight w:val="none"/>
        </w:rPr>
        <w:t>总价</w:t>
      </w:r>
      <w:r>
        <w:rPr>
          <w:rStyle w:val="32"/>
          <w:rFonts w:ascii="宋体" w:hAnsi="宋体"/>
          <w:b/>
          <w:bCs/>
          <w:color w:val="auto"/>
          <w:kern w:val="0"/>
          <w:sz w:val="24"/>
          <w:highlight w:val="none"/>
        </w:rPr>
        <w:t>须</w:t>
      </w:r>
      <w:r>
        <w:rPr>
          <w:rStyle w:val="32"/>
          <w:rFonts w:hint="eastAsia" w:ascii="宋体" w:hAnsi="宋体"/>
          <w:b/>
          <w:bCs/>
          <w:color w:val="auto"/>
          <w:kern w:val="0"/>
          <w:sz w:val="24"/>
          <w:highlight w:val="none"/>
        </w:rPr>
        <w:t>低于</w:t>
      </w:r>
      <w:r>
        <w:rPr>
          <w:rStyle w:val="32"/>
          <w:rFonts w:ascii="宋体" w:hAnsi="宋体"/>
          <w:b/>
          <w:bCs/>
          <w:color w:val="auto"/>
          <w:kern w:val="0"/>
          <w:sz w:val="24"/>
          <w:highlight w:val="none"/>
        </w:rPr>
        <w:t>本项目</w:t>
      </w:r>
      <w:r>
        <w:rPr>
          <w:rStyle w:val="32"/>
          <w:rFonts w:hint="eastAsia" w:ascii="宋体" w:hAnsi="宋体"/>
          <w:b/>
          <w:bCs/>
          <w:color w:val="auto"/>
          <w:kern w:val="0"/>
          <w:sz w:val="24"/>
          <w:highlight w:val="none"/>
        </w:rPr>
        <w:t>总价</w:t>
      </w:r>
      <w:r>
        <w:rPr>
          <w:rStyle w:val="32"/>
          <w:rFonts w:ascii="宋体" w:hAnsi="宋体"/>
          <w:b/>
          <w:bCs/>
          <w:color w:val="auto"/>
          <w:kern w:val="0"/>
          <w:sz w:val="24"/>
          <w:highlight w:val="none"/>
        </w:rPr>
        <w:t>最高限价</w:t>
      </w:r>
      <w:r>
        <w:rPr>
          <w:rStyle w:val="32"/>
          <w:rFonts w:hint="eastAsia" w:ascii="宋体" w:hAnsi="宋体"/>
          <w:b/>
          <w:bCs/>
          <w:color w:val="auto"/>
          <w:kern w:val="0"/>
          <w:sz w:val="24"/>
          <w:highlight w:val="none"/>
        </w:rPr>
        <w:t>的</w:t>
      </w:r>
      <w:r>
        <w:rPr>
          <w:rStyle w:val="32"/>
          <w:rFonts w:ascii="宋体" w:hAnsi="宋体"/>
          <w:b/>
          <w:bCs/>
          <w:color w:val="auto"/>
          <w:kern w:val="0"/>
          <w:sz w:val="24"/>
          <w:highlight w:val="none"/>
        </w:rPr>
        <w:t>3%</w:t>
      </w:r>
      <w:r>
        <w:rPr>
          <w:rStyle w:val="32"/>
          <w:rFonts w:hint="eastAsia" w:ascii="宋体" w:hAnsi="宋体"/>
          <w:b/>
          <w:bCs/>
          <w:color w:val="auto"/>
          <w:kern w:val="0"/>
          <w:sz w:val="24"/>
          <w:highlight w:val="none"/>
        </w:rPr>
        <w:t>以上（不含</w:t>
      </w:r>
      <w:r>
        <w:rPr>
          <w:rStyle w:val="32"/>
          <w:rFonts w:ascii="宋体" w:hAnsi="宋体"/>
          <w:b/>
          <w:bCs/>
          <w:color w:val="auto"/>
          <w:kern w:val="0"/>
          <w:sz w:val="24"/>
          <w:highlight w:val="none"/>
        </w:rPr>
        <w:t>3%</w:t>
      </w:r>
      <w:r>
        <w:rPr>
          <w:rStyle w:val="32"/>
          <w:rFonts w:hint="eastAsia" w:ascii="宋体" w:hAnsi="宋体"/>
          <w:b/>
          <w:bCs/>
          <w:color w:val="auto"/>
          <w:kern w:val="0"/>
          <w:sz w:val="24"/>
          <w:highlight w:val="none"/>
        </w:rPr>
        <w:t>）</w:t>
      </w:r>
      <w:r>
        <w:rPr>
          <w:rStyle w:val="32"/>
          <w:rFonts w:ascii="宋体" w:hAnsi="宋体"/>
          <w:b/>
          <w:bCs/>
          <w:color w:val="auto"/>
          <w:kern w:val="0"/>
          <w:sz w:val="24"/>
          <w:highlight w:val="none"/>
        </w:rPr>
        <w:t>，否则</w:t>
      </w:r>
      <w:r>
        <w:rPr>
          <w:rStyle w:val="32"/>
          <w:rFonts w:ascii="宋体" w:hAnsi="宋体" w:cs="宋体"/>
          <w:b/>
          <w:bCs/>
          <w:color w:val="auto"/>
          <w:kern w:val="0"/>
          <w:sz w:val="24"/>
          <w:highlight w:val="none"/>
        </w:rPr>
        <w:t>视为无效报价</w:t>
      </w:r>
      <w:r>
        <w:rPr>
          <w:rStyle w:val="32"/>
          <w:rFonts w:ascii="宋体" w:hAnsi="宋体"/>
          <w:b/>
          <w:bCs/>
          <w:color w:val="auto"/>
          <w:kern w:val="0"/>
          <w:sz w:val="24"/>
          <w:highlight w:val="none"/>
        </w:rPr>
        <w:t>。</w:t>
      </w:r>
      <w:r>
        <w:rPr>
          <w:rStyle w:val="32"/>
          <w:rFonts w:ascii="宋体" w:hAnsi="宋体"/>
          <w:color w:val="auto"/>
          <w:kern w:val="0"/>
          <w:sz w:val="24"/>
          <w:highlight w:val="none"/>
        </w:rPr>
        <w:t>在</w:t>
      </w:r>
      <w:r>
        <w:rPr>
          <w:rStyle w:val="32"/>
          <w:rFonts w:hint="eastAsia" w:ascii="宋体" w:hAnsi="宋体"/>
          <w:color w:val="auto"/>
          <w:kern w:val="0"/>
          <w:sz w:val="24"/>
          <w:highlight w:val="none"/>
        </w:rPr>
        <w:t>网上竞价时间</w:t>
      </w:r>
      <w:r>
        <w:rPr>
          <w:rStyle w:val="32"/>
          <w:rFonts w:ascii="宋体" w:hAnsi="宋体"/>
          <w:color w:val="auto"/>
          <w:kern w:val="0"/>
          <w:sz w:val="24"/>
          <w:highlight w:val="none"/>
        </w:rPr>
        <w:t>内</w:t>
      </w:r>
      <w:r>
        <w:rPr>
          <w:rStyle w:val="32"/>
          <w:rFonts w:hint="eastAsia" w:ascii="宋体" w:hAnsi="宋体"/>
          <w:color w:val="auto"/>
          <w:kern w:val="0"/>
          <w:sz w:val="24"/>
          <w:highlight w:val="none"/>
        </w:rPr>
        <w:t>、同一供应商有</w:t>
      </w:r>
      <w:r>
        <w:rPr>
          <w:rStyle w:val="32"/>
          <w:rFonts w:ascii="宋体" w:hAnsi="宋体"/>
          <w:color w:val="auto"/>
          <w:kern w:val="0"/>
          <w:sz w:val="24"/>
          <w:highlight w:val="none"/>
        </w:rPr>
        <w:t>多次报价的</w:t>
      </w:r>
      <w:r>
        <w:rPr>
          <w:rStyle w:val="32"/>
          <w:rFonts w:hint="eastAsia" w:ascii="宋体" w:hAnsi="宋体"/>
          <w:color w:val="auto"/>
          <w:kern w:val="0"/>
          <w:sz w:val="24"/>
          <w:highlight w:val="none"/>
        </w:rPr>
        <w:t>情况下</w:t>
      </w:r>
      <w:r>
        <w:rPr>
          <w:rStyle w:val="32"/>
          <w:rFonts w:ascii="宋体" w:hAnsi="宋体"/>
          <w:color w:val="auto"/>
          <w:kern w:val="0"/>
          <w:sz w:val="24"/>
          <w:highlight w:val="none"/>
        </w:rPr>
        <w:t>，</w:t>
      </w:r>
      <w:r>
        <w:rPr>
          <w:rStyle w:val="32"/>
          <w:rFonts w:hint="eastAsia" w:ascii="宋体" w:hAnsi="宋体"/>
          <w:color w:val="auto"/>
          <w:kern w:val="0"/>
          <w:sz w:val="24"/>
          <w:highlight w:val="none"/>
        </w:rPr>
        <w:t>则该供应商的每一次</w:t>
      </w:r>
      <w:r>
        <w:rPr>
          <w:rStyle w:val="32"/>
          <w:rFonts w:ascii="宋体" w:hAnsi="宋体"/>
          <w:color w:val="auto"/>
          <w:kern w:val="0"/>
          <w:sz w:val="24"/>
          <w:highlight w:val="none"/>
        </w:rPr>
        <w:t>报价金额必须小于自己上一次的报价金额，</w:t>
      </w:r>
      <w:r>
        <w:rPr>
          <w:rStyle w:val="32"/>
          <w:rFonts w:hint="eastAsia" w:ascii="宋体" w:hAnsi="宋体"/>
          <w:color w:val="auto"/>
          <w:kern w:val="0"/>
          <w:sz w:val="24"/>
          <w:highlight w:val="none"/>
        </w:rPr>
        <w:t>同时以该供应商</w:t>
      </w:r>
      <w:r>
        <w:rPr>
          <w:rStyle w:val="32"/>
          <w:rFonts w:ascii="宋体" w:hAnsi="宋体"/>
          <w:color w:val="auto"/>
          <w:kern w:val="0"/>
          <w:sz w:val="24"/>
          <w:highlight w:val="none"/>
        </w:rPr>
        <w:t>提交的最后一次报价作为</w:t>
      </w:r>
      <w:r>
        <w:rPr>
          <w:rStyle w:val="32"/>
          <w:rFonts w:hint="eastAsia" w:ascii="宋体" w:hAnsi="宋体"/>
          <w:color w:val="auto"/>
          <w:kern w:val="0"/>
          <w:sz w:val="24"/>
          <w:highlight w:val="none"/>
        </w:rPr>
        <w:t>其最终有效报价</w:t>
      </w:r>
      <w:r>
        <w:rPr>
          <w:rStyle w:val="32"/>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32"/>
          <w:rFonts w:hint="eastAsia" w:ascii="宋体" w:hAnsi="宋体"/>
          <w:color w:val="auto"/>
          <w:kern w:val="0"/>
          <w:sz w:val="24"/>
          <w:highlight w:val="none"/>
        </w:rPr>
      </w:pPr>
      <w:r>
        <w:rPr>
          <w:rFonts w:hint="eastAsia" w:ascii="宋体" w:hAnsi="宋体" w:cs="宋体"/>
          <w:color w:val="auto"/>
          <w:sz w:val="24"/>
          <w:highlight w:val="none"/>
        </w:rPr>
        <w:t>1.</w:t>
      </w:r>
      <w:r>
        <w:rPr>
          <w:rStyle w:val="32"/>
          <w:rFonts w:hint="eastAsia" w:ascii="宋体" w:hAnsi="宋体"/>
          <w:color w:val="auto"/>
          <w:kern w:val="0"/>
          <w:sz w:val="24"/>
          <w:highlight w:val="none"/>
        </w:rPr>
        <w:t>供应商</w:t>
      </w:r>
      <w:r>
        <w:rPr>
          <w:rStyle w:val="32"/>
          <w:rFonts w:ascii="宋体" w:hAnsi="宋体"/>
          <w:color w:val="auto"/>
          <w:kern w:val="0"/>
          <w:sz w:val="24"/>
          <w:highlight w:val="none"/>
        </w:rPr>
        <w:t>在</w:t>
      </w:r>
      <w:r>
        <w:rPr>
          <w:rStyle w:val="32"/>
          <w:rFonts w:hint="eastAsia" w:ascii="宋体" w:hAnsi="宋体"/>
          <w:color w:val="auto"/>
          <w:kern w:val="0"/>
          <w:sz w:val="24"/>
          <w:highlight w:val="none"/>
        </w:rPr>
        <w:t>完全满足网上竞价文件要求</w:t>
      </w:r>
      <w:r>
        <w:rPr>
          <w:rStyle w:val="32"/>
          <w:rFonts w:ascii="宋体" w:hAnsi="宋体"/>
          <w:color w:val="auto"/>
          <w:kern w:val="0"/>
          <w:sz w:val="24"/>
          <w:highlight w:val="none"/>
        </w:rPr>
        <w:t>且报价有效的前提下，</w:t>
      </w:r>
      <w:r>
        <w:rPr>
          <w:rStyle w:val="32"/>
          <w:rFonts w:hint="eastAsia" w:ascii="宋体" w:hAnsi="宋体"/>
          <w:color w:val="auto"/>
          <w:kern w:val="0"/>
          <w:sz w:val="24"/>
          <w:highlight w:val="none"/>
        </w:rPr>
        <w:t>最终有效报价</w:t>
      </w:r>
      <w:r>
        <w:rPr>
          <w:rStyle w:val="32"/>
          <w:rFonts w:ascii="宋体" w:hAnsi="宋体"/>
          <w:color w:val="auto"/>
          <w:kern w:val="0"/>
          <w:sz w:val="24"/>
          <w:highlight w:val="none"/>
        </w:rPr>
        <w:t>最低者</w:t>
      </w:r>
      <w:r>
        <w:rPr>
          <w:rStyle w:val="32"/>
          <w:rFonts w:hint="eastAsia" w:ascii="宋体" w:hAnsi="宋体"/>
          <w:color w:val="auto"/>
          <w:kern w:val="0"/>
          <w:sz w:val="24"/>
          <w:highlight w:val="none"/>
        </w:rPr>
        <w:t>为</w:t>
      </w:r>
      <w:r>
        <w:rPr>
          <w:rStyle w:val="32"/>
          <w:rFonts w:ascii="宋体" w:hAnsi="宋体"/>
          <w:color w:val="auto"/>
          <w:kern w:val="0"/>
          <w:sz w:val="24"/>
          <w:highlight w:val="none"/>
        </w:rPr>
        <w:t>成交</w:t>
      </w:r>
      <w:r>
        <w:rPr>
          <w:rStyle w:val="32"/>
          <w:rFonts w:hint="eastAsia" w:ascii="宋体" w:hAnsi="宋体"/>
          <w:color w:val="auto"/>
          <w:kern w:val="0"/>
          <w:sz w:val="24"/>
          <w:highlight w:val="none"/>
        </w:rPr>
        <w:t>候选人</w:t>
      </w:r>
      <w:r>
        <w:rPr>
          <w:rStyle w:val="32"/>
          <w:rFonts w:ascii="宋体" w:hAnsi="宋体"/>
          <w:color w:val="auto"/>
          <w:kern w:val="0"/>
          <w:sz w:val="24"/>
          <w:highlight w:val="none"/>
        </w:rPr>
        <w:t>，若</w:t>
      </w:r>
      <w:r>
        <w:rPr>
          <w:rStyle w:val="32"/>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32"/>
          <w:rFonts w:hint="eastAsia" w:ascii="宋体" w:hAnsi="宋体" w:eastAsia="宋体" w:cs="Times New Roman"/>
          <w:b/>
          <w:bCs/>
          <w:color w:val="auto"/>
          <w:kern w:val="0"/>
          <w:sz w:val="24"/>
          <w:highlight w:val="none"/>
        </w:rPr>
      </w:pPr>
      <w:r>
        <w:rPr>
          <w:rStyle w:val="32"/>
          <w:rFonts w:hint="eastAsia" w:ascii="宋体" w:hAnsi="宋体" w:eastAsia="宋体" w:cs="Times New Roman"/>
          <w:b/>
          <w:bCs/>
          <w:color w:val="auto"/>
          <w:kern w:val="0"/>
          <w:sz w:val="24"/>
          <w:highlight w:val="none"/>
          <w:lang w:val="en-US" w:eastAsia="zh-CN"/>
        </w:rPr>
        <w:t>注：</w:t>
      </w:r>
      <w:r>
        <w:rPr>
          <w:rStyle w:val="32"/>
          <w:rFonts w:hint="eastAsia" w:ascii="宋体" w:hAnsi="宋体" w:cs="Times New Roman"/>
          <w:b/>
          <w:bCs/>
          <w:color w:val="auto"/>
          <w:kern w:val="0"/>
          <w:sz w:val="24"/>
          <w:highlight w:val="none"/>
          <w:lang w:val="en-US" w:eastAsia="zh-CN"/>
        </w:rPr>
        <w:t>供应商在竞价系统中每次提交报价时均须上传《报价一览表》</w:t>
      </w:r>
      <w:r>
        <w:rPr>
          <w:rStyle w:val="32"/>
          <w:rFonts w:hint="eastAsia" w:hAnsi="宋体" w:cs="Times New Roman"/>
          <w:b/>
          <w:bCs/>
          <w:color w:val="auto"/>
          <w:kern w:val="0"/>
          <w:sz w:val="24"/>
          <w:highlight w:val="none"/>
          <w:lang w:val="en-US" w:eastAsia="zh-CN"/>
        </w:rPr>
        <w:t>，</w:t>
      </w:r>
      <w:r>
        <w:rPr>
          <w:rStyle w:val="32"/>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val="0"/>
        <w:kinsoku/>
        <w:wordWrap/>
        <w:overflowPunct/>
        <w:topLinePunct w:val="0"/>
        <w:autoSpaceDE/>
        <w:autoSpaceDN/>
        <w:bidi w:val="0"/>
        <w:adjustRightInd/>
        <w:snapToGri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2"/>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2"/>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32"/>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5"/>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00" w:lineRule="exact"/>
        <w:outlineLvl w:val="1"/>
        <w:rPr>
          <w:rFonts w:ascii="宋体" w:hAnsi="宋体" w:cs="宋体"/>
          <w:b/>
          <w:color w:val="auto"/>
          <w:sz w:val="24"/>
          <w:szCs w:val="24"/>
          <w:highlight w:val="none"/>
        </w:rPr>
      </w:pPr>
      <w:bookmarkStart w:id="1" w:name="_Toc359317661"/>
      <w:bookmarkStart w:id="2" w:name="_Toc358016816"/>
      <w:bookmarkStart w:id="3" w:name="_Toc330567034"/>
      <w:bookmarkStart w:id="4" w:name="_Toc346300367"/>
      <w:bookmarkStart w:id="5" w:name="_Toc327948617"/>
      <w:bookmarkStart w:id="6" w:name="_Toc347060296"/>
      <w:r>
        <w:rPr>
          <w:rFonts w:hint="eastAsia" w:ascii="宋体" w:hAnsi="宋体" w:cs="宋体"/>
          <w:b/>
          <w:color w:val="auto"/>
          <w:sz w:val="24"/>
          <w:szCs w:val="24"/>
          <w:highlight w:val="none"/>
        </w:rPr>
        <w:t>一、项目概述</w:t>
      </w:r>
      <w:bookmarkEnd w:id="1"/>
      <w:bookmarkEnd w:id="2"/>
    </w:p>
    <w:p w14:paraId="401C1468">
      <w:pPr>
        <w:pStyle w:val="34"/>
        <w:keepNext w:val="0"/>
        <w:keepLines w:val="0"/>
        <w:pageBreakBefore w:val="0"/>
        <w:kinsoku/>
        <w:wordWrap/>
        <w:overflowPunct/>
        <w:topLinePunct w:val="0"/>
        <w:autoSpaceDE/>
        <w:autoSpaceDN/>
        <w:bidi w:val="0"/>
        <w:adjustRightInd/>
        <w:snapToGrid/>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0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102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739"/>
        <w:gridCol w:w="1200"/>
        <w:gridCol w:w="1111"/>
        <w:gridCol w:w="1459"/>
        <w:gridCol w:w="2834"/>
        <w:gridCol w:w="960"/>
        <w:gridCol w:w="1245"/>
      </w:tblGrid>
      <w:tr w14:paraId="66BE7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699"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739"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lang w:val="en-US" w:eastAsia="zh-CN"/>
              </w:rPr>
              <w:t>服务名称</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2834"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960"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单价最高限价</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727F5C16">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总价最高限价</w:t>
            </w:r>
          </w:p>
        </w:tc>
      </w:tr>
      <w:tr w14:paraId="08720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jc w:val="center"/>
        </w:trPr>
        <w:tc>
          <w:tcPr>
            <w:tcW w:w="699"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0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739"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0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1200"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default" w:ascii="宋体" w:hAnsi="宋体" w:eastAsia="宋体" w:cs="新宋体"/>
                <w:b w:val="0"/>
                <w:bCs w:val="0"/>
                <w:color w:val="auto"/>
                <w:kern w:val="0"/>
                <w:sz w:val="24"/>
                <w:szCs w:val="24"/>
                <w:highlight w:val="none"/>
                <w:lang w:val="en-US" w:eastAsia="zh-CN"/>
              </w:rPr>
              <w:t>2024年度机关文书档案整理及电子化服务</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7000件</w:t>
            </w:r>
          </w:p>
        </w:tc>
        <w:tc>
          <w:tcPr>
            <w:tcW w:w="1459"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default" w:ascii="宋体" w:hAnsi="宋体"/>
                <w:b w:val="0"/>
                <w:bCs w:val="0"/>
                <w:color w:val="auto"/>
                <w:kern w:val="0"/>
                <w:sz w:val="24"/>
                <w:szCs w:val="24"/>
                <w:highlight w:val="none"/>
                <w:lang w:val="en-US" w:eastAsia="zh-CN"/>
              </w:rPr>
              <w:t>2025年9月30日前完成目录报送，10月30日前完成全部整档以及电子化工作</w:t>
            </w:r>
          </w:p>
        </w:tc>
        <w:tc>
          <w:tcPr>
            <w:tcW w:w="2834"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参照国家档案局和福建省档案局的有关整档标准和业务规范进行文书拆钉、档案整理、目录录入、档案电子化和整理装盒等工作。</w:t>
            </w:r>
            <w:r>
              <w:rPr>
                <w:rFonts w:hint="eastAsia" w:ascii="宋体" w:hAnsi="宋体"/>
                <w:b w:val="0"/>
                <w:bCs w:val="0"/>
                <w:color w:val="auto"/>
                <w:kern w:val="0"/>
                <w:sz w:val="24"/>
                <w:szCs w:val="24"/>
                <w:highlight w:val="none"/>
                <w:lang w:val="en-US" w:eastAsia="zh-CN"/>
              </w:rPr>
              <w:t>具体</w:t>
            </w:r>
            <w:r>
              <w:rPr>
                <w:rFonts w:hint="eastAsia" w:ascii="宋体" w:hAnsi="宋体"/>
                <w:b w:val="0"/>
                <w:bCs w:val="0"/>
                <w:color w:val="auto"/>
                <w:kern w:val="0"/>
                <w:sz w:val="24"/>
                <w:szCs w:val="24"/>
                <w:highlight w:val="none"/>
                <w:lang w:eastAsia="zh-CN"/>
              </w:rPr>
              <w:t>详见“第三章 网上竞价内容及要求</w:t>
            </w:r>
            <w:r>
              <w:rPr>
                <w:rFonts w:hint="eastAsia" w:ascii="宋体" w:hAnsi="宋体"/>
                <w:b w:val="0"/>
                <w:bCs w:val="0"/>
                <w:color w:val="auto"/>
                <w:kern w:val="0"/>
                <w:sz w:val="24"/>
                <w:szCs w:val="24"/>
                <w:highlight w:val="none"/>
                <w:lang w:val="en-US" w:eastAsia="zh-CN"/>
              </w:rPr>
              <w:t>二、</w:t>
            </w:r>
            <w:r>
              <w:rPr>
                <w:rFonts w:hint="eastAsia" w:ascii="宋体" w:hAnsi="宋体"/>
                <w:b w:val="0"/>
                <w:bCs w:val="0"/>
                <w:color w:val="auto"/>
                <w:kern w:val="0"/>
                <w:sz w:val="24"/>
                <w:szCs w:val="24"/>
                <w:highlight w:val="none"/>
                <w:lang w:eastAsia="zh-CN"/>
              </w:rPr>
              <w:t>技术和服务要求”</w:t>
            </w:r>
          </w:p>
        </w:tc>
        <w:tc>
          <w:tcPr>
            <w:tcW w:w="960"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14.00</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4F845D1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98000.00</w:t>
            </w:r>
          </w:p>
        </w:tc>
      </w:tr>
    </w:tbl>
    <w:p w14:paraId="494F6A1F">
      <w:pPr>
        <w:keepNext w:val="0"/>
        <w:keepLines w:val="0"/>
        <w:pageBreakBefore w:val="0"/>
        <w:widowControl/>
        <w:numPr>
          <w:ilvl w:val="0"/>
          <w:numId w:val="1"/>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16083407">
      <w:pPr>
        <w:keepNext w:val="0"/>
        <w:keepLines w:val="0"/>
        <w:pageBreakBefore w:val="0"/>
        <w:widowControl/>
        <w:numPr>
          <w:ilvl w:val="0"/>
          <w:numId w:val="1"/>
        </w:numPr>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本项目数量为预估数量，最终按实际完成数量结算。</w:t>
      </w:r>
      <w:r>
        <w:rPr>
          <w:rFonts w:hint="eastAsia" w:ascii="宋体" w:hAnsi="宋体" w:eastAsia="宋体" w:cs="宋体"/>
          <w:color w:val="auto"/>
          <w:kern w:val="0"/>
          <w:sz w:val="24"/>
          <w:szCs w:val="24"/>
          <w:highlight w:val="none"/>
          <w:lang w:val="en-US" w:eastAsia="zh-CN" w:bidi="ar-SA"/>
        </w:rPr>
        <w:t>供应商投标单价不得超过单价最高限价，投标总价不得超过总价最高限价，否则报价无效。</w:t>
      </w:r>
    </w:p>
    <w:p w14:paraId="3E4145C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4、</w:t>
      </w:r>
      <w:r>
        <w:rPr>
          <w:rFonts w:hint="eastAsia" w:ascii="宋体" w:hAnsi="宋体" w:eastAsia="宋体" w:cs="宋体"/>
          <w:color w:val="auto"/>
          <w:kern w:val="0"/>
          <w:sz w:val="24"/>
          <w:szCs w:val="24"/>
          <w:highlight w:val="none"/>
          <w:lang w:val="en-US" w:eastAsia="zh-CN" w:bidi="ar-SA"/>
        </w:rPr>
        <w:t>供应商报价应包含</w:t>
      </w:r>
      <w:r>
        <w:rPr>
          <w:rFonts w:hint="eastAsia" w:ascii="宋体" w:hAnsi="宋体" w:cs="宋体"/>
          <w:color w:val="auto"/>
          <w:kern w:val="0"/>
          <w:sz w:val="24"/>
          <w:szCs w:val="24"/>
          <w:highlight w:val="none"/>
          <w:lang w:val="en-US" w:eastAsia="zh-CN" w:bidi="ar-SA"/>
        </w:rPr>
        <w:t>完成项目实施的全部费用</w:t>
      </w:r>
      <w:r>
        <w:rPr>
          <w:rFonts w:hint="eastAsia" w:ascii="宋体" w:hAnsi="宋体" w:eastAsia="宋体" w:cs="宋体"/>
          <w:color w:val="auto"/>
          <w:kern w:val="0"/>
          <w:sz w:val="24"/>
          <w:szCs w:val="24"/>
          <w:highlight w:val="none"/>
          <w:lang w:val="en-US" w:eastAsia="zh-CN" w:bidi="ar-SA"/>
        </w:rPr>
        <w:t>，包括</w:t>
      </w:r>
      <w:r>
        <w:rPr>
          <w:rFonts w:hint="eastAsia" w:ascii="宋体" w:hAnsi="宋体" w:cs="宋体"/>
          <w:color w:val="auto"/>
          <w:kern w:val="0"/>
          <w:sz w:val="24"/>
          <w:szCs w:val="24"/>
          <w:highlight w:val="none"/>
          <w:lang w:val="en-US" w:eastAsia="zh-CN" w:bidi="ar-SA"/>
        </w:rPr>
        <w:t>但不限于</w:t>
      </w:r>
      <w:r>
        <w:rPr>
          <w:rFonts w:hint="eastAsia" w:ascii="宋体" w:hAnsi="宋体" w:eastAsia="宋体" w:cs="宋体"/>
          <w:color w:val="auto"/>
          <w:kern w:val="0"/>
          <w:sz w:val="24"/>
          <w:szCs w:val="24"/>
          <w:highlight w:val="none"/>
          <w:lang w:val="en-US" w:eastAsia="zh-CN" w:bidi="ar-SA"/>
        </w:rPr>
        <w:t>：整档所需的电脑（项目结束后硬盘拆下由</w:t>
      </w:r>
      <w:r>
        <w:rPr>
          <w:rFonts w:hint="eastAsia" w:ascii="宋体" w:hAnsi="宋体" w:cs="宋体"/>
          <w:color w:val="auto"/>
          <w:kern w:val="0"/>
          <w:sz w:val="24"/>
          <w:szCs w:val="24"/>
          <w:highlight w:val="none"/>
          <w:lang w:val="en-US" w:eastAsia="zh-CN" w:bidi="ar-SA"/>
        </w:rPr>
        <w:t>采购人</w:t>
      </w:r>
      <w:r>
        <w:rPr>
          <w:rFonts w:hint="eastAsia" w:ascii="宋体" w:hAnsi="宋体" w:eastAsia="宋体" w:cs="宋体"/>
          <w:color w:val="auto"/>
          <w:kern w:val="0"/>
          <w:sz w:val="24"/>
          <w:szCs w:val="24"/>
          <w:highlight w:val="none"/>
          <w:lang w:val="en-US" w:eastAsia="zh-CN" w:bidi="ar-SA"/>
        </w:rPr>
        <w:t>保存）、打印机、扫描仪、装订机等办公设备、耗材、税费</w:t>
      </w:r>
      <w:r>
        <w:rPr>
          <w:rFonts w:hint="eastAsia" w:ascii="宋体" w:hAnsi="宋体" w:cs="宋体"/>
          <w:color w:val="auto"/>
          <w:kern w:val="0"/>
          <w:sz w:val="24"/>
          <w:szCs w:val="24"/>
          <w:highlight w:val="none"/>
          <w:lang w:val="en-US" w:eastAsia="zh-CN" w:bidi="ar-SA"/>
        </w:rPr>
        <w:t>等</w:t>
      </w:r>
      <w:r>
        <w:rPr>
          <w:rFonts w:hint="eastAsia" w:ascii="宋体" w:hAnsi="宋体" w:eastAsia="宋体" w:cs="宋体"/>
          <w:color w:val="auto"/>
          <w:kern w:val="0"/>
          <w:sz w:val="24"/>
          <w:szCs w:val="24"/>
          <w:highlight w:val="none"/>
          <w:lang w:val="en-US" w:eastAsia="zh-CN" w:bidi="ar-SA"/>
        </w:rPr>
        <w:t>。</w:t>
      </w:r>
    </w:p>
    <w:p w14:paraId="442EA31C">
      <w:pPr>
        <w:keepNext w:val="0"/>
        <w:keepLines w:val="0"/>
        <w:pageBreakBefore w:val="0"/>
        <w:kinsoku/>
        <w:wordWrap/>
        <w:overflowPunct/>
        <w:topLinePunct w:val="0"/>
        <w:autoSpaceDE/>
        <w:autoSpaceDN/>
        <w:bidi w:val="0"/>
        <w:adjustRightInd/>
        <w:spacing w:line="40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6110A263">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1、项目完成标准</w:t>
      </w:r>
    </w:p>
    <w:p w14:paraId="482691AB">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default"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sz w:val="24"/>
          <w:szCs w:val="24"/>
          <w:lang w:val="en-US" w:eastAsia="zh-CN"/>
        </w:rPr>
        <w:t>根据国家档案局和福建省档案局出台的相关整档标准和业务规范。相关执法标准包括《福建省纸质档案数字化操作规程（试行）》、《归档文件整理规则》(DA／T 22-2015)、《纸质档案数字化技术规范》(DA／T 31-2017)、《档案著录规则》(DA／T 18-1999)和《福建省档案局关于转发&lt;国家档案局关于全面推行机关档案分类方案、文件材料归档范围和档案保管期限表三合一制度的通知&gt;的通知》（闽档〔2022〕22号）等最新下</w:t>
      </w:r>
      <w:r>
        <w:rPr>
          <w:rFonts w:hint="eastAsia" w:asciiTheme="minorEastAsia" w:hAnsiTheme="minorEastAsia" w:eastAsiaTheme="minorEastAsia" w:cstheme="minorEastAsia"/>
          <w:b w:val="0"/>
          <w:bCs w:val="0"/>
          <w:sz w:val="24"/>
          <w:szCs w:val="24"/>
          <w:highlight w:val="none"/>
          <w:lang w:val="en-US" w:eastAsia="zh-CN"/>
        </w:rPr>
        <w:t>发的文件为依据进行档案外包服务工作。</w:t>
      </w:r>
    </w:p>
    <w:p w14:paraId="583FAA9E">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2、项目具体要求</w:t>
      </w:r>
    </w:p>
    <w:p w14:paraId="3EF3B27E">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kern w:val="2"/>
          <w:sz w:val="24"/>
          <w:szCs w:val="24"/>
          <w:lang w:val="en-US" w:eastAsia="zh-CN" w:bidi="ar-SA"/>
        </w:rPr>
        <w:t>完成福建省司法厅2024年度机关文书档案整理及电子化加工任务，含归档年度为2024年的文书档案出入库、档案分类、编页码、盖归档章、去除金属装订物、局部破损修复、目录著录、扫描、修图、质检、装卷、装盒、数据备份与系统挂接等数字化服务工作。</w:t>
      </w:r>
    </w:p>
    <w:p w14:paraId="6F9A86BB">
      <w:pPr>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3.其他要求</w:t>
      </w:r>
    </w:p>
    <w:p w14:paraId="27138DA0">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3.1项目实施时，供应商应遵守采购单位的工作要求及作息制度。</w:t>
      </w:r>
    </w:p>
    <w:p w14:paraId="7E3A15E3">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val="0"/>
          <w:bCs w:val="0"/>
          <w:sz w:val="24"/>
          <w:szCs w:val="24"/>
          <w:lang w:val="en-US" w:eastAsia="zh-CN"/>
        </w:rPr>
        <w:t>3.2</w:t>
      </w:r>
      <w:r>
        <w:rPr>
          <w:rFonts w:hint="eastAsia" w:asciiTheme="minorEastAsia" w:hAnsiTheme="minorEastAsia" w:eastAsiaTheme="minorEastAsia" w:cstheme="minorEastAsia"/>
          <w:b w:val="0"/>
          <w:bCs w:val="0"/>
          <w:kern w:val="2"/>
          <w:sz w:val="24"/>
          <w:szCs w:val="24"/>
          <w:lang w:val="en-US" w:eastAsia="zh-CN" w:bidi="ar-SA"/>
        </w:rPr>
        <w:t>供应商应</w:t>
      </w:r>
      <w:r>
        <w:rPr>
          <w:rFonts w:hint="eastAsia" w:asciiTheme="minorEastAsia" w:hAnsiTheme="minorEastAsia" w:eastAsiaTheme="minorEastAsia" w:cstheme="minorEastAsia"/>
          <w:b w:val="0"/>
          <w:bCs w:val="0"/>
          <w:kern w:val="2"/>
          <w:sz w:val="24"/>
          <w:szCs w:val="24"/>
          <w:highlight w:val="none"/>
          <w:lang w:val="en-US" w:eastAsia="zh-CN" w:bidi="ar-SA"/>
        </w:rPr>
        <w:t>派出不少于3名工作人</w:t>
      </w:r>
      <w:r>
        <w:rPr>
          <w:rFonts w:hint="eastAsia" w:asciiTheme="minorEastAsia" w:hAnsiTheme="minorEastAsia" w:eastAsiaTheme="minorEastAsia" w:cstheme="minorEastAsia"/>
          <w:b w:val="0"/>
          <w:bCs w:val="0"/>
          <w:kern w:val="2"/>
          <w:sz w:val="24"/>
          <w:szCs w:val="24"/>
          <w:lang w:val="en-US" w:eastAsia="zh-CN" w:bidi="ar-SA"/>
        </w:rPr>
        <w:t>员（必须持有档案岗位证书，人员相对固定）在采购人指定地点（符合涉密载体保密要求），按时按规范要求（福建省档案馆进馆标准）完成整档和数字化工作</w:t>
      </w:r>
      <w:r>
        <w:rPr>
          <w:rFonts w:hint="eastAsia" w:asciiTheme="minorEastAsia" w:hAnsiTheme="minorEastAsia" w:eastAsiaTheme="minorEastAsia" w:cstheme="minorEastAsia"/>
          <w:b w:val="0"/>
          <w:bCs w:val="0"/>
          <w:kern w:val="2"/>
          <w:sz w:val="24"/>
          <w:szCs w:val="24"/>
          <w:highlight w:val="none"/>
          <w:lang w:val="en-US" w:eastAsia="zh-CN" w:bidi="ar-SA"/>
        </w:rPr>
        <w:t>。</w:t>
      </w:r>
      <w:r>
        <w:rPr>
          <w:rFonts w:hint="eastAsia" w:asciiTheme="minorEastAsia" w:hAnsiTheme="minorEastAsia" w:eastAsiaTheme="minorEastAsia" w:cstheme="minorEastAsia"/>
          <w:b/>
          <w:bCs/>
          <w:sz w:val="24"/>
          <w:szCs w:val="24"/>
          <w:highlight w:val="none"/>
        </w:rPr>
        <w:t>本项目负责人应具有国家档案局颁发的“机关档案信息化业务培训证书”和取得省级（含）以上人力资源和社会保障部门颁发的高级及以上“技术等级档案管理员岗位证书”</w:t>
      </w:r>
      <w:r>
        <w:rPr>
          <w:rFonts w:hint="eastAsia" w:asciiTheme="minorEastAsia" w:hAnsiTheme="minorEastAsia" w:eastAsiaTheme="minorEastAsia" w:cstheme="minorEastAsia"/>
          <w:b/>
          <w:bCs/>
          <w:sz w:val="24"/>
          <w:szCs w:val="24"/>
          <w:highlight w:val="none"/>
          <w:lang w:eastAsia="zh-CN"/>
        </w:rPr>
        <w:t>。（</w:t>
      </w:r>
      <w:r>
        <w:rPr>
          <w:rFonts w:hint="eastAsia" w:asciiTheme="minorEastAsia" w:hAnsiTheme="minorEastAsia" w:eastAsiaTheme="minorEastAsia" w:cstheme="minorEastAsia"/>
          <w:b/>
          <w:bCs/>
          <w:sz w:val="24"/>
          <w:szCs w:val="24"/>
          <w:highlight w:val="none"/>
          <w:lang w:val="en-US" w:eastAsia="zh-CN"/>
        </w:rPr>
        <w:t>须</w:t>
      </w:r>
      <w:r>
        <w:rPr>
          <w:rFonts w:hint="eastAsia" w:asciiTheme="minorEastAsia" w:hAnsiTheme="minorEastAsia" w:eastAsiaTheme="minorEastAsia" w:cstheme="minorEastAsia"/>
          <w:b/>
          <w:bCs/>
          <w:sz w:val="24"/>
          <w:szCs w:val="24"/>
          <w:highlight w:val="none"/>
        </w:rPr>
        <w:t>提供有</w:t>
      </w:r>
      <w:r>
        <w:rPr>
          <w:rFonts w:hint="eastAsia" w:asciiTheme="minorEastAsia" w:hAnsiTheme="minorEastAsia" w:eastAsiaTheme="minorEastAsia" w:cstheme="minorEastAsia"/>
          <w:b/>
          <w:bCs/>
          <w:sz w:val="24"/>
          <w:szCs w:val="24"/>
          <w:highlight w:val="none"/>
          <w:lang w:val="en-US" w:eastAsia="zh-CN"/>
        </w:rPr>
        <w:t>效</w:t>
      </w:r>
      <w:r>
        <w:rPr>
          <w:rFonts w:hint="eastAsia" w:asciiTheme="minorEastAsia" w:hAnsiTheme="minorEastAsia" w:eastAsiaTheme="minorEastAsia" w:cstheme="minorEastAsia"/>
          <w:b/>
          <w:bCs/>
          <w:sz w:val="24"/>
          <w:szCs w:val="24"/>
          <w:highlight w:val="none"/>
        </w:rPr>
        <w:t>证书证明材料</w:t>
      </w:r>
      <w:r>
        <w:rPr>
          <w:rFonts w:hint="eastAsia" w:asciiTheme="minorEastAsia" w:hAnsiTheme="minorEastAsia" w:eastAsiaTheme="minorEastAsia" w:cstheme="minorEastAsia"/>
          <w:b/>
          <w:bCs/>
          <w:sz w:val="24"/>
          <w:szCs w:val="24"/>
          <w:highlight w:val="none"/>
          <w:lang w:eastAsia="zh-CN"/>
        </w:rPr>
        <w:t>）</w:t>
      </w:r>
    </w:p>
    <w:p w14:paraId="3EAA8A7A">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3.3本项目派驻整档人员在采购单位指定地点按整档工作要求进行文书拆钉、档案整理、目录录入、档案电子化和整理装盒等工作内容。档案整理过程中，派驻人员应与采购单位签订保密协议，遵守《保密法》和服务所在部门的相关规定，保守秘密，不说不传、不私下录入或复制采购单位文件中记载的一切内容。</w:t>
      </w:r>
    </w:p>
    <w:p w14:paraId="1AC4D343">
      <w:pPr>
        <w:pStyle w:val="12"/>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3.4</w:t>
      </w:r>
      <w:r>
        <w:rPr>
          <w:rFonts w:hint="eastAsia" w:asciiTheme="minorEastAsia" w:hAnsiTheme="minorEastAsia" w:eastAsiaTheme="minorEastAsia" w:cstheme="minorEastAsia"/>
          <w:sz w:val="24"/>
          <w:szCs w:val="24"/>
        </w:rPr>
        <w:t>供应商负责对所有参加本项目的工作人员进行审查（数字化加工人员应当为中国公民且无犯罪记录并提供无犯罪记录证明），并在工作开展前，对其进行保密和防火安全教育并签订保密责任书</w:t>
      </w:r>
      <w:r>
        <w:rPr>
          <w:rFonts w:hint="eastAsia" w:asciiTheme="minorEastAsia" w:hAnsiTheme="minorEastAsia" w:eastAsiaTheme="minorEastAsia" w:cstheme="minorEastAsia"/>
          <w:sz w:val="24"/>
          <w:szCs w:val="24"/>
          <w:lang w:eastAsia="zh-CN"/>
        </w:rPr>
        <w:t>。</w:t>
      </w:r>
    </w:p>
    <w:p w14:paraId="057FF11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3.5整档所需的电脑、打印机、扫描仪等办公设备（含耗材）均由供应商负责并应符合保密要求。整档完成后凡具有数据存储功能的设备（如硬盘等）均由采购单位统一留存。</w:t>
      </w:r>
    </w:p>
    <w:p w14:paraId="477003CC">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val="0"/>
          <w:bCs w:val="0"/>
          <w:kern w:val="2"/>
          <w:sz w:val="24"/>
          <w:szCs w:val="24"/>
          <w:lang w:val="en-US" w:eastAsia="zh-CN" w:bidi="ar-SA"/>
        </w:rPr>
      </w:pPr>
      <w:r>
        <w:rPr>
          <w:rFonts w:hint="eastAsia" w:asciiTheme="minorEastAsia" w:hAnsiTheme="minorEastAsia" w:eastAsiaTheme="minorEastAsia" w:cstheme="minorEastAsia"/>
          <w:b w:val="0"/>
          <w:bCs w:val="0"/>
          <w:sz w:val="24"/>
          <w:szCs w:val="24"/>
          <w:lang w:val="en-US" w:eastAsia="zh-CN"/>
        </w:rPr>
        <w:t>3.6供应商自2018年1月1日起至投标截止</w:t>
      </w:r>
      <w:r>
        <w:rPr>
          <w:rFonts w:hint="eastAsia" w:asciiTheme="minorEastAsia" w:hAnsiTheme="minorEastAsia" w:eastAsiaTheme="minorEastAsia" w:cstheme="minorEastAsia"/>
          <w:b w:val="0"/>
          <w:bCs w:val="0"/>
          <w:sz w:val="24"/>
          <w:szCs w:val="24"/>
          <w:highlight w:val="none"/>
          <w:lang w:val="en-US" w:eastAsia="zh-CN"/>
        </w:rPr>
        <w:t>时间止须具有不少于2个</w:t>
      </w:r>
      <w:r>
        <w:rPr>
          <w:rFonts w:hint="eastAsia" w:ascii="宋体" w:hAnsi="宋体" w:eastAsia="宋体" w:cs="宋体"/>
          <w:i w:val="0"/>
          <w:iCs w:val="0"/>
          <w:caps w:val="0"/>
          <w:color w:val="333333"/>
          <w:spacing w:val="0"/>
          <w:sz w:val="24"/>
          <w:szCs w:val="24"/>
          <w:highlight w:val="none"/>
          <w:shd w:val="clear" w:fill="FFFFFF"/>
        </w:rPr>
        <w:t>同</w:t>
      </w:r>
      <w:r>
        <w:rPr>
          <w:rFonts w:hint="eastAsia" w:asciiTheme="minorEastAsia" w:hAnsiTheme="minorEastAsia" w:eastAsiaTheme="minorEastAsia" w:cstheme="minorEastAsia"/>
          <w:b w:val="0"/>
          <w:bCs w:val="0"/>
          <w:kern w:val="2"/>
          <w:sz w:val="24"/>
          <w:szCs w:val="24"/>
          <w:highlight w:val="none"/>
          <w:lang w:val="en-US" w:eastAsia="zh-CN" w:bidi="ar-SA"/>
        </w:rPr>
        <w:t>类项目案例。</w:t>
      </w:r>
      <w:r>
        <w:rPr>
          <w:rFonts w:hint="eastAsia" w:ascii="宋体" w:hAnsi="宋体" w:eastAsia="宋体" w:cs="宋体"/>
          <w:b/>
          <w:color w:val="auto"/>
          <w:sz w:val="24"/>
          <w:szCs w:val="24"/>
          <w:highlight w:val="none"/>
          <w:lang w:eastAsia="zh-CN"/>
        </w:rPr>
        <w:t>（</w:t>
      </w:r>
      <w:r>
        <w:rPr>
          <w:rFonts w:hint="eastAsia" w:ascii="宋体" w:hAnsi="宋体" w:eastAsia="宋体" w:cs="宋体"/>
          <w:b/>
          <w:color w:val="auto"/>
          <w:sz w:val="24"/>
          <w:szCs w:val="24"/>
          <w:highlight w:val="none"/>
          <w:lang w:val="en-US" w:eastAsia="zh-CN"/>
        </w:rPr>
        <w:t>须提供相关</w:t>
      </w:r>
      <w:r>
        <w:rPr>
          <w:rFonts w:hint="eastAsia" w:ascii="宋体" w:hAnsi="宋体" w:eastAsia="宋体" w:cs="宋体"/>
          <w:b/>
          <w:color w:val="auto"/>
          <w:sz w:val="24"/>
          <w:szCs w:val="24"/>
          <w:highlight w:val="none"/>
          <w:lang w:eastAsia="zh-CN"/>
        </w:rPr>
        <w:t>项目案例的合同复印件）</w:t>
      </w:r>
    </w:p>
    <w:p w14:paraId="42D259C0">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sz w:val="24"/>
          <w:szCs w:val="24"/>
        </w:rPr>
        <w:t>、档案交接</w:t>
      </w:r>
    </w:p>
    <w:p w14:paraId="299FA111">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.1双方指定专人共同进行档案实体现场交接和清点，清点完毕后，在档案实体交接清单上签字后进行数字化加工。</w:t>
      </w:r>
    </w:p>
    <w:p w14:paraId="2310F68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shd w:val="clear" w:color="auto" w:fill="FFFFFF"/>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shd w:val="clear" w:color="auto" w:fill="FFFFFF"/>
        </w:rPr>
        <w:t>抽密</w:t>
      </w:r>
    </w:p>
    <w:p w14:paraId="5FC6769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1数字化过程中应做好涉密文件的筛选工作。已有涉密文件记录的,应按照记录进行筛选；缺少密件记录的，应逐件、逐页翻阅，并根据文件上的涉密标识进行筛选</w:t>
      </w:r>
      <w:r>
        <w:rPr>
          <w:rFonts w:hint="eastAsia" w:asciiTheme="minorEastAsia" w:hAnsiTheme="minorEastAsia" w:eastAsiaTheme="minorEastAsia" w:cstheme="minorEastAsia"/>
          <w:sz w:val="24"/>
          <w:szCs w:val="24"/>
          <w:lang w:eastAsia="zh-CN"/>
        </w:rPr>
        <w:t>。</w:t>
      </w:r>
    </w:p>
    <w:p w14:paraId="3EB65B14">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2涉密文件主要包括:标注有密级的文件、文号带“密”的文件、盖有密件收发章的文件和密码电报等，有解密标识的除外</w:t>
      </w:r>
      <w:r>
        <w:rPr>
          <w:rFonts w:hint="eastAsia" w:asciiTheme="minorEastAsia" w:hAnsiTheme="minorEastAsia" w:eastAsiaTheme="minorEastAsia" w:cstheme="minorEastAsia"/>
          <w:sz w:val="24"/>
          <w:szCs w:val="24"/>
          <w:lang w:eastAsia="zh-CN"/>
        </w:rPr>
        <w:t>。</w:t>
      </w:r>
    </w:p>
    <w:p w14:paraId="41922EA1">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3抽取时以标注有密件信息的一份完整的涉密文件为单位，详细记录档号、密级、起止页号等信息</w:t>
      </w:r>
      <w:r>
        <w:rPr>
          <w:rFonts w:hint="eastAsia" w:asciiTheme="minorEastAsia" w:hAnsiTheme="minorEastAsia" w:eastAsiaTheme="minorEastAsia" w:cstheme="minorEastAsia"/>
          <w:sz w:val="24"/>
          <w:szCs w:val="24"/>
          <w:lang w:eastAsia="zh-CN"/>
        </w:rPr>
        <w:t>。</w:t>
      </w:r>
    </w:p>
    <w:p w14:paraId="6A5428F6">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4确认密件记录的准确性后,将密件逐一放入专用文件袋中。件袋标注应清晰准确，与密件一一对应抽件时，应保持密件的完整性,不得遗落档案</w:t>
      </w:r>
      <w:r>
        <w:rPr>
          <w:rFonts w:hint="eastAsia" w:asciiTheme="minorEastAsia" w:hAnsiTheme="minorEastAsia" w:eastAsiaTheme="minorEastAsia" w:cstheme="minorEastAsia"/>
          <w:sz w:val="24"/>
          <w:szCs w:val="24"/>
          <w:lang w:eastAsia="zh-CN"/>
        </w:rPr>
        <w:t>。</w:t>
      </w:r>
    </w:p>
    <w:p w14:paraId="5725CF1D">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5抽取出的密件应按照保密要求进行管理。</w:t>
      </w:r>
    </w:p>
    <w:p w14:paraId="3594FDFD">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5</w:t>
      </w:r>
      <w:r>
        <w:rPr>
          <w:rFonts w:hint="eastAsia" w:asciiTheme="minorEastAsia" w:hAnsiTheme="minorEastAsia" w:eastAsiaTheme="minorEastAsia" w:cstheme="minorEastAsia"/>
          <w:b/>
          <w:bCs/>
          <w:sz w:val="24"/>
          <w:szCs w:val="24"/>
        </w:rPr>
        <w:t>、档案原文扫描</w:t>
      </w:r>
    </w:p>
    <w:p w14:paraId="12281F18">
      <w:pPr>
        <w:pStyle w:val="12"/>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.1页面修整：破损严重、无法直接进行扫描的档案，应进行处理，折皱不平影响扫描质量的原件应进行相应处理（压平或熨平等）后再进行扫描</w:t>
      </w:r>
      <w:r>
        <w:rPr>
          <w:rFonts w:hint="eastAsia" w:asciiTheme="minorEastAsia" w:hAnsiTheme="minorEastAsia" w:eastAsiaTheme="minorEastAsia" w:cstheme="minorEastAsia"/>
          <w:sz w:val="24"/>
          <w:szCs w:val="24"/>
          <w:lang w:eastAsia="zh-CN"/>
        </w:rPr>
        <w:t>。</w:t>
      </w:r>
    </w:p>
    <w:p w14:paraId="729E1800">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.2扫描方式：在扫描时采用平板扫描和高速扫描两种方式，对于纸张规则、状况良好的档案采用高速扫描方式；对于纸张状况较差和历史年代久远的档案采用平板扫描方式。</w:t>
      </w:r>
    </w:p>
    <w:p w14:paraId="09129E43">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.3扫描色彩模式：</w:t>
      </w:r>
    </w:p>
    <w:p w14:paraId="16CAD8CF">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.3.1采用彩色扫描，尽量保证档案原貌，尽可能保证颜色的一致性</w:t>
      </w:r>
      <w:r>
        <w:rPr>
          <w:rFonts w:hint="eastAsia" w:asciiTheme="minorEastAsia" w:hAnsiTheme="minorEastAsia" w:eastAsiaTheme="minorEastAsia" w:cstheme="minorEastAsia"/>
          <w:sz w:val="24"/>
          <w:szCs w:val="24"/>
          <w:lang w:eastAsia="zh-CN"/>
        </w:rPr>
        <w:t>。</w:t>
      </w:r>
    </w:p>
    <w:p w14:paraId="6BD7C665">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highlight w:val="yellow"/>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.3.2扫描图像缩放比应为100%。</w:t>
      </w:r>
    </w:p>
    <w:p w14:paraId="45858AE1">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.4扫描分辨率：</w:t>
      </w:r>
    </w:p>
    <w:p w14:paraId="06325574">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.4.1扫描分辨率参数大小的选择，原则上以扫描后的图像清晰、完整、不影响图像的利用效果为准</w:t>
      </w:r>
      <w:r>
        <w:rPr>
          <w:rFonts w:hint="eastAsia" w:asciiTheme="minorEastAsia" w:hAnsiTheme="minorEastAsia" w:eastAsiaTheme="minorEastAsia" w:cstheme="minorEastAsia"/>
          <w:sz w:val="24"/>
          <w:szCs w:val="24"/>
          <w:lang w:eastAsia="zh-CN"/>
        </w:rPr>
        <w:t>。</w:t>
      </w:r>
    </w:p>
    <w:p w14:paraId="04AE4077">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.4.2采用彩色模式对档案进行扫描时，其分辨率一般均选择≥300dpi。特殊情况下，如文字偏小、密集、清晰度较差等，可适当提高分辨率。</w:t>
      </w:r>
    </w:p>
    <w:p w14:paraId="5692D9E1">
      <w:pPr>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6</w:t>
      </w:r>
      <w:r>
        <w:rPr>
          <w:rFonts w:hint="eastAsia" w:asciiTheme="minorEastAsia" w:hAnsiTheme="minorEastAsia" w:eastAsiaTheme="minorEastAsia" w:cstheme="minorEastAsia"/>
          <w:b/>
          <w:bCs/>
          <w:sz w:val="24"/>
          <w:szCs w:val="24"/>
        </w:rPr>
        <w:t>、图像存储</w:t>
      </w:r>
    </w:p>
    <w:p w14:paraId="1D1DB737">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.1采用彩色模式扫描的文件，采用JPG格式及PDF两种格式存储。存储时的压缩率的选择，应以保证扫描的图像清晰可读的前提下，尽量减小存储容量为准则</w:t>
      </w:r>
      <w:r>
        <w:rPr>
          <w:rFonts w:hint="eastAsia" w:asciiTheme="minorEastAsia" w:hAnsiTheme="minorEastAsia" w:eastAsiaTheme="minorEastAsia" w:cstheme="minorEastAsia"/>
          <w:sz w:val="24"/>
          <w:szCs w:val="24"/>
          <w:lang w:eastAsia="zh-CN"/>
        </w:rPr>
        <w:t>。</w:t>
      </w:r>
    </w:p>
    <w:p w14:paraId="23F2A7AE">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.2供应商提供归档备份系统可对档案数据进行自动刻录，具有离线柜、在线等功能，能显示每个盘槽位的状况、刻录状况、可用空白光盘的种类和数据量汇总、出盘状况、任务日志。须提供详细截图操作证明。</w:t>
      </w:r>
    </w:p>
    <w:p w14:paraId="32AAC111">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7</w:t>
      </w:r>
      <w:r>
        <w:rPr>
          <w:rFonts w:hint="eastAsia" w:asciiTheme="minorEastAsia" w:hAnsiTheme="minorEastAsia" w:eastAsiaTheme="minorEastAsia" w:cstheme="minorEastAsia"/>
          <w:b/>
          <w:bCs/>
          <w:sz w:val="24"/>
          <w:szCs w:val="24"/>
        </w:rPr>
        <w:t>、图像处理</w:t>
      </w:r>
    </w:p>
    <w:p w14:paraId="392DBC3F">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.1所有扫描后的图像要按标准进行图像处理，包括纠偏、去污、翻转、裁剪、压缩、对比度调整、亮度补偿等。在图像处理过程中必须遵循“尊重历史，保持原貌”的基本原则；</w:t>
      </w:r>
    </w:p>
    <w:p w14:paraId="0738F44A">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.2保持电子图像文件和原档案的页码顺序一致</w:t>
      </w:r>
      <w:r>
        <w:rPr>
          <w:rFonts w:hint="eastAsia" w:asciiTheme="minorEastAsia" w:hAnsiTheme="minorEastAsia" w:eastAsiaTheme="minorEastAsia" w:cstheme="minorEastAsia"/>
          <w:sz w:val="24"/>
          <w:szCs w:val="24"/>
          <w:lang w:eastAsia="zh-CN"/>
        </w:rPr>
        <w:t>。</w:t>
      </w:r>
    </w:p>
    <w:p w14:paraId="588F656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.3电子图像文件页面端正、不倾斜，无扭曲变形，符合正常阅读习惯</w:t>
      </w:r>
      <w:r>
        <w:rPr>
          <w:rFonts w:hint="eastAsia" w:asciiTheme="minorEastAsia" w:hAnsiTheme="minorEastAsia" w:eastAsiaTheme="minorEastAsia" w:cstheme="minorEastAsia"/>
          <w:sz w:val="24"/>
          <w:szCs w:val="24"/>
          <w:lang w:eastAsia="zh-CN"/>
        </w:rPr>
        <w:t>。</w:t>
      </w:r>
    </w:p>
    <w:p w14:paraId="1AC2814C">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.4电子图像文件完整无缺,不漏页，不多页，不重叠。</w:t>
      </w:r>
    </w:p>
    <w:p w14:paraId="7F0B0FBB">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8</w:t>
      </w:r>
      <w:r>
        <w:rPr>
          <w:rFonts w:hint="eastAsia" w:asciiTheme="minorEastAsia" w:hAnsiTheme="minorEastAsia" w:eastAsiaTheme="minorEastAsia" w:cstheme="minorEastAsia"/>
          <w:b/>
          <w:bCs/>
          <w:sz w:val="24"/>
          <w:szCs w:val="24"/>
        </w:rPr>
        <w:t>、条目检查</w:t>
      </w:r>
    </w:p>
    <w:p w14:paraId="366857D3">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.1根据档案的案卷封面标记、卷内相关信息及条目著录规则和要求，将数字化加工部分已录档案条目进行检查，要求录入信息与原件内容相符，无漏录、重录、错录现象</w:t>
      </w:r>
      <w:r>
        <w:rPr>
          <w:rFonts w:hint="eastAsia" w:asciiTheme="minorEastAsia" w:hAnsiTheme="minorEastAsia" w:eastAsiaTheme="minorEastAsia" w:cstheme="minorEastAsia"/>
          <w:sz w:val="24"/>
          <w:szCs w:val="24"/>
          <w:lang w:eastAsia="zh-CN"/>
        </w:rPr>
        <w:t>。</w:t>
      </w:r>
    </w:p>
    <w:p w14:paraId="75E6F14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.2数据中凡有漏录、错录的卷内目录及档号写错的应及时给予补充更改。</w:t>
      </w:r>
    </w:p>
    <w:p w14:paraId="49B97A52">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9</w:t>
      </w:r>
      <w:r>
        <w:rPr>
          <w:rFonts w:hint="eastAsia" w:asciiTheme="minorEastAsia" w:hAnsiTheme="minorEastAsia" w:eastAsiaTheme="minorEastAsia" w:cstheme="minorEastAsia"/>
          <w:b/>
          <w:bCs/>
          <w:sz w:val="24"/>
          <w:szCs w:val="24"/>
        </w:rPr>
        <w:t>、数据质检</w:t>
      </w:r>
    </w:p>
    <w:p w14:paraId="2FE20490">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.1对扫描后的档案原文电子图像进行严格的质量检查，包括图像方向，偏斜度、清晰度、黑边、污点、漏扫、过度裁剪等项目进行检查，对不符合要求的进行重扫</w:t>
      </w:r>
      <w:r>
        <w:rPr>
          <w:rFonts w:hint="eastAsia" w:asciiTheme="minorEastAsia" w:hAnsiTheme="minorEastAsia" w:eastAsiaTheme="minorEastAsia" w:cstheme="minorEastAsia"/>
          <w:sz w:val="24"/>
          <w:szCs w:val="24"/>
          <w:lang w:eastAsia="zh-CN"/>
        </w:rPr>
        <w:t>。</w:t>
      </w:r>
    </w:p>
    <w:p w14:paraId="4879614F">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.2对录入的档案条目信息的准确性、完整性进行检查，对不符合要求的进行修正或补录</w:t>
      </w:r>
      <w:r>
        <w:rPr>
          <w:rFonts w:hint="eastAsia" w:asciiTheme="minorEastAsia" w:hAnsiTheme="minorEastAsia" w:eastAsiaTheme="minorEastAsia" w:cstheme="minorEastAsia"/>
          <w:sz w:val="24"/>
          <w:szCs w:val="24"/>
          <w:lang w:eastAsia="zh-CN"/>
        </w:rPr>
        <w:t>。</w:t>
      </w:r>
    </w:p>
    <w:p w14:paraId="17396294">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.3检查生成的电子图像文件是否与索引数据匹配相符，是否有信息出错的情况。</w:t>
      </w:r>
    </w:p>
    <w:p w14:paraId="5678620B">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10</w:t>
      </w:r>
      <w:r>
        <w:rPr>
          <w:rFonts w:hint="eastAsia" w:asciiTheme="minorEastAsia" w:hAnsiTheme="minorEastAsia" w:eastAsiaTheme="minorEastAsia" w:cstheme="minorEastAsia"/>
          <w:b/>
          <w:bCs/>
          <w:sz w:val="24"/>
          <w:szCs w:val="24"/>
        </w:rPr>
        <w:t>、数据挂接</w:t>
      </w:r>
    </w:p>
    <w:p w14:paraId="7CB3BED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Cs/>
          <w:sz w:val="24"/>
          <w:szCs w:val="24"/>
          <w:shd w:val="clear" w:color="auto" w:fill="FFFFFF"/>
        </w:rPr>
      </w:pPr>
      <w:r>
        <w:rPr>
          <w:rFonts w:hint="eastAsia" w:asciiTheme="minorEastAsia" w:hAnsiTheme="minorEastAsia" w:eastAsiaTheme="minorEastAsia" w:cstheme="minorEastAsia"/>
          <w:bCs/>
          <w:sz w:val="24"/>
          <w:szCs w:val="24"/>
          <w:shd w:val="clear" w:color="auto" w:fill="FFFFFF"/>
        </w:rPr>
        <w:t>扫描并质检合格的数字化文件通过数字化加工软件与目录数据库及档案管理系统软件实现批量、快速、准确的挂接。</w:t>
      </w:r>
    </w:p>
    <w:p w14:paraId="5C666E98">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11</w:t>
      </w:r>
      <w:r>
        <w:rPr>
          <w:rFonts w:hint="eastAsia" w:asciiTheme="minorEastAsia" w:hAnsiTheme="minorEastAsia" w:eastAsiaTheme="minorEastAsia" w:cstheme="minorEastAsia"/>
          <w:b/>
          <w:bCs/>
          <w:sz w:val="24"/>
          <w:szCs w:val="24"/>
        </w:rPr>
        <w:t>、数据导入</w:t>
      </w:r>
    </w:p>
    <w:p w14:paraId="4CBEB3E2">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本次加工完成的目录数据导入到采购人使用的档案管理系统；扫描的电子文件准确无误挂接到采购人使用的档案管理系统。</w:t>
      </w:r>
    </w:p>
    <w:p w14:paraId="3BA56759">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val="en-US" w:eastAsia="zh-CN"/>
        </w:rPr>
        <w:t>12</w:t>
      </w:r>
      <w:r>
        <w:rPr>
          <w:rFonts w:hint="eastAsia" w:asciiTheme="minorEastAsia" w:hAnsiTheme="minorEastAsia" w:eastAsiaTheme="minorEastAsia" w:cstheme="minorEastAsia"/>
          <w:b/>
          <w:bCs/>
          <w:sz w:val="24"/>
          <w:szCs w:val="24"/>
        </w:rPr>
        <w:t>、质量标准要求</w:t>
      </w:r>
    </w:p>
    <w:p w14:paraId="11EAB7B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.1档案装订:检查所有档案的装订还原情况，正确率100%</w:t>
      </w:r>
      <w:r>
        <w:rPr>
          <w:rFonts w:hint="eastAsia" w:asciiTheme="minorEastAsia" w:hAnsiTheme="minorEastAsia" w:eastAsiaTheme="minorEastAsia" w:cstheme="minorEastAsia"/>
          <w:sz w:val="24"/>
          <w:szCs w:val="24"/>
          <w:lang w:eastAsia="zh-CN"/>
        </w:rPr>
        <w:t>。</w:t>
      </w:r>
    </w:p>
    <w:p w14:paraId="7C95D838">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.2扫描图像:漏扫率≤0.1‰</w:t>
      </w:r>
      <w:r>
        <w:rPr>
          <w:rFonts w:hint="eastAsia" w:asciiTheme="minorEastAsia" w:hAnsiTheme="minorEastAsia" w:eastAsiaTheme="minorEastAsia" w:cstheme="minorEastAsia"/>
          <w:sz w:val="24"/>
          <w:szCs w:val="24"/>
          <w:lang w:eastAsia="zh-CN"/>
        </w:rPr>
        <w:t>。</w:t>
      </w:r>
    </w:p>
    <w:p w14:paraId="04E54BA5">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.3图像质量: 图像质量不良率≤0.1‰</w:t>
      </w:r>
      <w:r>
        <w:rPr>
          <w:rFonts w:hint="eastAsia" w:asciiTheme="minorEastAsia" w:hAnsiTheme="minorEastAsia" w:eastAsiaTheme="minorEastAsia" w:cstheme="minorEastAsia"/>
          <w:sz w:val="24"/>
          <w:szCs w:val="24"/>
          <w:lang w:eastAsia="zh-CN"/>
        </w:rPr>
        <w:t>。</w:t>
      </w:r>
    </w:p>
    <w:p w14:paraId="0D21E641">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.4格式封装: 图像文件的命名差错率≤0.1‰</w:t>
      </w:r>
      <w:r>
        <w:rPr>
          <w:rFonts w:hint="eastAsia" w:asciiTheme="minorEastAsia" w:hAnsiTheme="minorEastAsia" w:eastAsiaTheme="minorEastAsia" w:cstheme="minorEastAsia"/>
          <w:sz w:val="24"/>
          <w:szCs w:val="24"/>
          <w:lang w:eastAsia="zh-CN"/>
        </w:rPr>
        <w:t>。</w:t>
      </w:r>
    </w:p>
    <w:p w14:paraId="07851218">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.5目录核对、完善: 以目录条数为单位，其中任何一个字段(包括档号、正题名、文件时间、责任者等) 错误视为本条错误。条数差错率≤0.1‰</w:t>
      </w:r>
      <w:r>
        <w:rPr>
          <w:rFonts w:hint="eastAsia" w:asciiTheme="minorEastAsia" w:hAnsiTheme="minorEastAsia" w:eastAsiaTheme="minorEastAsia" w:cstheme="minorEastAsia"/>
          <w:sz w:val="24"/>
          <w:szCs w:val="24"/>
          <w:lang w:eastAsia="zh-CN"/>
        </w:rPr>
        <w:t>。</w:t>
      </w:r>
    </w:p>
    <w:p w14:paraId="19CFFC15">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.6条目与图像挂接: 挂接正确率100%</w:t>
      </w:r>
      <w:r>
        <w:rPr>
          <w:rFonts w:hint="eastAsia" w:asciiTheme="minorEastAsia" w:hAnsiTheme="minorEastAsia" w:eastAsiaTheme="minorEastAsia" w:cstheme="minorEastAsia"/>
          <w:sz w:val="24"/>
          <w:szCs w:val="24"/>
          <w:lang w:eastAsia="zh-CN"/>
        </w:rPr>
        <w:t>。</w:t>
      </w:r>
    </w:p>
    <w:p w14:paraId="75A06AE5">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.7档案原始材料100%不缺失</w:t>
      </w:r>
      <w:r>
        <w:rPr>
          <w:rFonts w:hint="eastAsia" w:asciiTheme="minorEastAsia" w:hAnsiTheme="minorEastAsia" w:eastAsiaTheme="minorEastAsia" w:cstheme="minorEastAsia"/>
          <w:sz w:val="24"/>
          <w:szCs w:val="24"/>
          <w:lang w:eastAsia="zh-CN"/>
        </w:rPr>
        <w:t>。</w:t>
      </w:r>
    </w:p>
    <w:p w14:paraId="7F02AEF3">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.8提供的数字化最终成品，需达到福建省档案馆接收标准。</w:t>
      </w:r>
      <w:r>
        <w:rPr>
          <w:rFonts w:hint="eastAsia" w:asciiTheme="minorEastAsia" w:hAnsiTheme="minorEastAsia" w:eastAsiaTheme="minorEastAsia" w:cstheme="minorEastAsia"/>
          <w:sz w:val="24"/>
          <w:szCs w:val="24"/>
          <w:shd w:val="clear" w:color="auto" w:fill="FFFFFF"/>
        </w:rPr>
        <w:t>供应商应安排专人对档案数字化成果进行质量自检</w:t>
      </w:r>
      <w:r>
        <w:rPr>
          <w:rFonts w:hint="eastAsia" w:asciiTheme="minorEastAsia" w:hAnsiTheme="minorEastAsia" w:eastAsiaTheme="minorEastAsia" w:cstheme="minorEastAsia"/>
          <w:sz w:val="24"/>
          <w:szCs w:val="24"/>
        </w:rPr>
        <w:t>，发现问题及时整改，经最终整改完所有数据必须达100%正确率。</w:t>
      </w:r>
    </w:p>
    <w:p w14:paraId="6DC9C830">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、档案目录数据</w:t>
      </w:r>
    </w:p>
    <w:p w14:paraId="567F1F7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Cs/>
          <w:sz w:val="24"/>
          <w:szCs w:val="24"/>
          <w:shd w:val="clear" w:color="auto" w:fill="FFFFFF"/>
        </w:rPr>
        <w:t>1</w:t>
      </w:r>
      <w:r>
        <w:rPr>
          <w:rFonts w:hint="eastAsia" w:asciiTheme="minorEastAsia" w:hAnsiTheme="minorEastAsia" w:eastAsiaTheme="minorEastAsia" w:cstheme="minorEastAsia"/>
          <w:bCs/>
          <w:sz w:val="24"/>
          <w:szCs w:val="24"/>
          <w:shd w:val="clear" w:color="auto" w:fill="FFFFFF"/>
          <w:lang w:val="en-US" w:eastAsia="zh-CN"/>
        </w:rPr>
        <w:t>3</w:t>
      </w:r>
      <w:r>
        <w:rPr>
          <w:rFonts w:hint="eastAsia" w:asciiTheme="minorEastAsia" w:hAnsiTheme="minorEastAsia" w:eastAsiaTheme="minorEastAsia" w:cstheme="minorEastAsia"/>
          <w:bCs/>
          <w:sz w:val="24"/>
          <w:szCs w:val="24"/>
          <w:shd w:val="clear" w:color="auto" w:fill="FFFFFF"/>
        </w:rPr>
        <w:t>.1</w:t>
      </w:r>
      <w:r>
        <w:rPr>
          <w:rFonts w:hint="eastAsia" w:asciiTheme="minorEastAsia" w:hAnsiTheme="minorEastAsia" w:eastAsiaTheme="minorEastAsia" w:cstheme="minorEastAsia"/>
          <w:sz w:val="24"/>
          <w:szCs w:val="24"/>
        </w:rPr>
        <w:t>以卷为整理单位的档案应移交案卷宗级目录数据和卷内文件目录数据，以件为整理单位的档案应移交归档文件目录数据</w:t>
      </w:r>
      <w:r>
        <w:rPr>
          <w:rFonts w:hint="eastAsia" w:asciiTheme="minorEastAsia" w:hAnsiTheme="minorEastAsia" w:eastAsiaTheme="minorEastAsia" w:cstheme="minorEastAsia"/>
          <w:sz w:val="24"/>
          <w:szCs w:val="24"/>
          <w:lang w:eastAsia="zh-CN"/>
        </w:rPr>
        <w:t>。</w:t>
      </w:r>
    </w:p>
    <w:p w14:paraId="6AA7F14F">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Cs/>
          <w:sz w:val="24"/>
          <w:szCs w:val="24"/>
          <w:shd w:val="clear" w:color="auto" w:fill="FFFFFF"/>
        </w:rPr>
        <w:t>1</w:t>
      </w:r>
      <w:r>
        <w:rPr>
          <w:rFonts w:hint="eastAsia" w:asciiTheme="minorEastAsia" w:hAnsiTheme="minorEastAsia" w:eastAsiaTheme="minorEastAsia" w:cstheme="minorEastAsia"/>
          <w:bCs/>
          <w:sz w:val="24"/>
          <w:szCs w:val="24"/>
          <w:shd w:val="clear" w:color="auto" w:fill="FFFFFF"/>
          <w:lang w:val="en-US" w:eastAsia="zh-CN"/>
        </w:rPr>
        <w:t>3</w:t>
      </w:r>
      <w:r>
        <w:rPr>
          <w:rFonts w:hint="eastAsia" w:asciiTheme="minorEastAsia" w:hAnsiTheme="minorEastAsia" w:eastAsiaTheme="minorEastAsia" w:cstheme="minorEastAsia"/>
          <w:bCs/>
          <w:sz w:val="24"/>
          <w:szCs w:val="24"/>
          <w:shd w:val="clear" w:color="auto" w:fill="FFFFFF"/>
        </w:rPr>
        <w:t>.2</w:t>
      </w:r>
      <w:r>
        <w:rPr>
          <w:rFonts w:hint="eastAsia" w:asciiTheme="minorEastAsia" w:hAnsiTheme="minorEastAsia" w:eastAsiaTheme="minorEastAsia" w:cstheme="minorEastAsia"/>
          <w:sz w:val="24"/>
          <w:szCs w:val="24"/>
        </w:rPr>
        <w:t>纸质档案目录数据应完整、准确、规范，符合档案目录数据库著录结构要求</w:t>
      </w:r>
      <w:r>
        <w:rPr>
          <w:rFonts w:hint="eastAsia" w:asciiTheme="minorEastAsia" w:hAnsiTheme="minorEastAsia" w:eastAsiaTheme="minorEastAsia" w:cstheme="minorEastAsia"/>
          <w:sz w:val="24"/>
          <w:szCs w:val="24"/>
          <w:lang w:eastAsia="zh-CN"/>
        </w:rPr>
        <w:t>。</w:t>
      </w:r>
    </w:p>
    <w:p w14:paraId="3E043EA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.3档案数据文件格式应为DBF或XLS。</w:t>
      </w:r>
    </w:p>
    <w:p w14:paraId="19BA4954">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lang w:val="en-US" w:eastAsia="zh-CN"/>
        </w:rPr>
        <w:t>4</w:t>
      </w:r>
      <w:r>
        <w:rPr>
          <w:rFonts w:hint="eastAsia" w:asciiTheme="minorEastAsia" w:hAnsiTheme="minorEastAsia" w:eastAsiaTheme="minorEastAsia" w:cstheme="minorEastAsia"/>
          <w:b/>
          <w:bCs/>
          <w:sz w:val="24"/>
          <w:szCs w:val="24"/>
        </w:rPr>
        <w:t>、档案数字图像</w:t>
      </w:r>
    </w:p>
    <w:p w14:paraId="387978C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.1档案数字图像应与纸质档案一一对应，不得缺漏或重份</w:t>
      </w:r>
      <w:r>
        <w:rPr>
          <w:rFonts w:hint="eastAsia" w:asciiTheme="minorEastAsia" w:hAnsiTheme="minorEastAsia" w:eastAsiaTheme="minorEastAsia" w:cstheme="minorEastAsia"/>
          <w:sz w:val="24"/>
          <w:szCs w:val="24"/>
          <w:lang w:eastAsia="zh-CN"/>
        </w:rPr>
        <w:t>。</w:t>
      </w:r>
    </w:p>
    <w:p w14:paraId="56D8BA96">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Cs/>
          <w:sz w:val="24"/>
          <w:szCs w:val="24"/>
          <w:shd w:val="clear" w:color="auto" w:fill="FFFFFF"/>
        </w:rPr>
        <w:t>1</w:t>
      </w:r>
      <w:r>
        <w:rPr>
          <w:rFonts w:hint="eastAsia" w:asciiTheme="minorEastAsia" w:hAnsiTheme="minorEastAsia" w:eastAsiaTheme="minorEastAsia" w:cstheme="minorEastAsia"/>
          <w:bCs/>
          <w:sz w:val="24"/>
          <w:szCs w:val="24"/>
          <w:shd w:val="clear" w:color="auto" w:fill="FFFFFF"/>
          <w:lang w:val="en-US" w:eastAsia="zh-CN"/>
        </w:rPr>
        <w:t>4</w:t>
      </w:r>
      <w:r>
        <w:rPr>
          <w:rFonts w:hint="eastAsia" w:asciiTheme="minorEastAsia" w:hAnsiTheme="minorEastAsia" w:eastAsiaTheme="minorEastAsia" w:cstheme="minorEastAsia"/>
          <w:bCs/>
          <w:sz w:val="24"/>
          <w:szCs w:val="24"/>
          <w:shd w:val="clear" w:color="auto" w:fill="FFFFFF"/>
        </w:rPr>
        <w:t>.2</w:t>
      </w:r>
      <w:r>
        <w:rPr>
          <w:rFonts w:hint="eastAsia" w:asciiTheme="minorEastAsia" w:hAnsiTheme="minorEastAsia" w:eastAsiaTheme="minorEastAsia" w:cstheme="minorEastAsia"/>
          <w:sz w:val="24"/>
          <w:szCs w:val="24"/>
        </w:rPr>
        <w:t>档案数字图像形成采用彩色扫描模式，分辨率不低于300dpi</w:t>
      </w:r>
      <w:r>
        <w:rPr>
          <w:rFonts w:hint="eastAsia" w:asciiTheme="minorEastAsia" w:hAnsiTheme="minorEastAsia" w:eastAsiaTheme="minorEastAsia" w:cstheme="minorEastAsia"/>
          <w:sz w:val="24"/>
          <w:szCs w:val="24"/>
          <w:lang w:eastAsia="zh-CN"/>
        </w:rPr>
        <w:t>。</w:t>
      </w:r>
    </w:p>
    <w:p w14:paraId="07CCD238">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.3档案数字图像应保存两种格式：一是用于储存备份的JPEG格式，二是用于网络查询浏览的双层PDF格式，两种格式各移交一套</w:t>
      </w:r>
      <w:r>
        <w:rPr>
          <w:rFonts w:hint="eastAsia" w:asciiTheme="minorEastAsia" w:hAnsiTheme="minorEastAsia" w:eastAsiaTheme="minorEastAsia" w:cstheme="minorEastAsia"/>
          <w:sz w:val="24"/>
          <w:szCs w:val="24"/>
          <w:lang w:eastAsia="zh-CN"/>
        </w:rPr>
        <w:t>。</w:t>
      </w:r>
    </w:p>
    <w:p w14:paraId="52408689">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.4档案数字图像应以相对应的纸质档案馆编文件级档号命名，确保每一份数字图像的文件名与档案目录数据库的馆编档号的一致性和唯一性</w:t>
      </w:r>
      <w:r>
        <w:rPr>
          <w:rFonts w:hint="eastAsia" w:asciiTheme="minorEastAsia" w:hAnsiTheme="minorEastAsia" w:eastAsiaTheme="minorEastAsia" w:cstheme="minorEastAsia"/>
          <w:sz w:val="24"/>
          <w:szCs w:val="24"/>
          <w:lang w:eastAsia="zh-CN"/>
        </w:rPr>
        <w:t>。</w:t>
      </w:r>
    </w:p>
    <w:p w14:paraId="776D4127">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.5档案数字图像应完整、清晰、不失真，图像效果最接近档案原貌。</w:t>
      </w:r>
    </w:p>
    <w:p w14:paraId="5E1B1CA5">
      <w:pPr>
        <w:pStyle w:val="12"/>
        <w:keepNext w:val="0"/>
        <w:keepLines w:val="0"/>
        <w:pageBreakBefore w:val="0"/>
        <w:widowControl/>
        <w:kinsoku/>
        <w:wordWrap/>
        <w:overflowPunct/>
        <w:topLinePunct w:val="0"/>
        <w:autoSpaceDE/>
        <w:autoSpaceDN/>
        <w:bidi w:val="0"/>
        <w:adjustRightInd/>
        <w:snapToGrid/>
        <w:spacing w:line="400" w:lineRule="exact"/>
        <w:ind w:firstLine="482"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1</w:t>
      </w:r>
      <w:r>
        <w:rPr>
          <w:rFonts w:hint="eastAsia" w:asciiTheme="minorEastAsia" w:hAnsiTheme="minorEastAsia" w:eastAsiaTheme="minorEastAsia" w:cstheme="minorEastAsia"/>
          <w:b/>
          <w:bCs/>
          <w:sz w:val="24"/>
          <w:szCs w:val="24"/>
          <w:lang w:val="en-US" w:eastAsia="zh-CN"/>
        </w:rPr>
        <w:t>5</w:t>
      </w:r>
      <w:r>
        <w:rPr>
          <w:rFonts w:hint="eastAsia" w:asciiTheme="minorEastAsia" w:hAnsiTheme="minorEastAsia" w:eastAsiaTheme="minorEastAsia" w:cstheme="minorEastAsia"/>
          <w:b/>
          <w:bCs/>
          <w:sz w:val="24"/>
          <w:szCs w:val="24"/>
        </w:rPr>
        <w:t>、移交介质</w:t>
      </w:r>
    </w:p>
    <w:p w14:paraId="5F982421">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15.1</w:t>
      </w:r>
      <w:r>
        <w:rPr>
          <w:rFonts w:hint="eastAsia" w:asciiTheme="minorEastAsia" w:hAnsiTheme="minorEastAsia" w:eastAsiaTheme="minorEastAsia" w:cstheme="minorEastAsia"/>
          <w:sz w:val="24"/>
          <w:szCs w:val="24"/>
        </w:rPr>
        <w:t>档案数字化成果移交介质为档案级光盘或磁盘（硬盘）</w:t>
      </w:r>
      <w:r>
        <w:rPr>
          <w:rFonts w:hint="eastAsia" w:asciiTheme="minorEastAsia" w:hAnsiTheme="minorEastAsia" w:eastAsiaTheme="minorEastAsia" w:cstheme="minorEastAsia"/>
          <w:sz w:val="24"/>
          <w:szCs w:val="24"/>
          <w:lang w:eastAsia="zh-CN"/>
        </w:rPr>
        <w:t>。</w:t>
      </w:r>
    </w:p>
    <w:p w14:paraId="1F67A55D">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15.2</w:t>
      </w:r>
      <w:r>
        <w:rPr>
          <w:rFonts w:hint="eastAsia" w:asciiTheme="minorEastAsia" w:hAnsiTheme="minorEastAsia" w:eastAsiaTheme="minorEastAsia" w:cstheme="minorEastAsia"/>
          <w:sz w:val="24"/>
          <w:szCs w:val="24"/>
        </w:rPr>
        <w:t>按照《档案数字化光盘标识规范》（DA/T52-2014）的要求，对移交数字化成果光盘的盘盒纸和光盘盘面进行规范标识著录</w:t>
      </w:r>
      <w:r>
        <w:rPr>
          <w:rFonts w:hint="eastAsia" w:asciiTheme="minorEastAsia" w:hAnsiTheme="minorEastAsia" w:eastAsiaTheme="minorEastAsia" w:cstheme="minorEastAsia"/>
          <w:sz w:val="24"/>
          <w:szCs w:val="24"/>
          <w:lang w:eastAsia="zh-CN"/>
        </w:rPr>
        <w:t>。</w:t>
      </w:r>
    </w:p>
    <w:p w14:paraId="325BC9F6">
      <w:pPr>
        <w:pStyle w:val="12"/>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15.3</w:t>
      </w:r>
      <w:r>
        <w:rPr>
          <w:rFonts w:hint="eastAsia" w:asciiTheme="minorEastAsia" w:hAnsiTheme="minorEastAsia" w:eastAsiaTheme="minorEastAsia" w:cstheme="minorEastAsia"/>
          <w:sz w:val="24"/>
          <w:szCs w:val="24"/>
        </w:rPr>
        <w:t>做好数字化成果移交的质量检查工作，确保移交数据的准确性、完整性、可读性和安全性。</w:t>
      </w:r>
    </w:p>
    <w:p w14:paraId="6CDCC312">
      <w:pPr>
        <w:pStyle w:val="18"/>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Style w:val="25"/>
          <w:rFonts w:hint="eastAsia" w:asciiTheme="minorEastAsia" w:hAnsiTheme="minorEastAsia" w:eastAsiaTheme="minorEastAsia" w:cstheme="minorEastAsia"/>
          <w:sz w:val="24"/>
          <w:szCs w:val="24"/>
        </w:rPr>
      </w:pPr>
      <w:r>
        <w:rPr>
          <w:rStyle w:val="25"/>
          <w:rFonts w:hint="eastAsia" w:asciiTheme="minorEastAsia" w:hAnsiTheme="minorEastAsia" w:eastAsiaTheme="minorEastAsia" w:cstheme="minorEastAsia"/>
          <w:sz w:val="24"/>
          <w:szCs w:val="24"/>
        </w:rPr>
        <w:t>1</w:t>
      </w:r>
      <w:r>
        <w:rPr>
          <w:rStyle w:val="25"/>
          <w:rFonts w:hint="eastAsia" w:asciiTheme="minorEastAsia" w:hAnsiTheme="minorEastAsia" w:eastAsiaTheme="minorEastAsia" w:cstheme="minorEastAsia"/>
          <w:sz w:val="24"/>
          <w:szCs w:val="24"/>
          <w:lang w:val="en-US" w:eastAsia="zh-CN"/>
        </w:rPr>
        <w:t>6</w:t>
      </w:r>
      <w:r>
        <w:rPr>
          <w:rStyle w:val="25"/>
          <w:rFonts w:hint="eastAsia" w:asciiTheme="minorEastAsia" w:hAnsiTheme="minorEastAsia" w:eastAsiaTheme="minorEastAsia" w:cstheme="minorEastAsia"/>
          <w:sz w:val="24"/>
          <w:szCs w:val="24"/>
        </w:rPr>
        <w:t>.档案数据安全保障</w:t>
      </w:r>
    </w:p>
    <w:p w14:paraId="71B537A4">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16.1</w:t>
      </w:r>
      <w:r>
        <w:rPr>
          <w:rFonts w:hint="eastAsia" w:asciiTheme="minorEastAsia" w:hAnsiTheme="minorEastAsia" w:eastAsiaTheme="minorEastAsia" w:cstheme="minorEastAsia"/>
          <w:sz w:val="24"/>
          <w:szCs w:val="24"/>
        </w:rPr>
        <w:t>须提供主机安全监控系统，能够监控网页木马（webshell）</w:t>
      </w:r>
      <w:r>
        <w:rPr>
          <w:rFonts w:hint="eastAsia" w:asciiTheme="minorEastAsia" w:hAnsiTheme="minorEastAsia" w:eastAsiaTheme="minorEastAsia" w:cstheme="minorEastAsia"/>
          <w:b/>
          <w:bCs/>
          <w:sz w:val="24"/>
          <w:szCs w:val="24"/>
        </w:rPr>
        <w:t>（须提供截图证明）</w:t>
      </w:r>
      <w:r>
        <w:rPr>
          <w:rFonts w:hint="eastAsia" w:asciiTheme="minorEastAsia" w:hAnsiTheme="minorEastAsia" w:eastAsiaTheme="minorEastAsia" w:cstheme="minorEastAsia"/>
          <w:sz w:val="24"/>
          <w:szCs w:val="24"/>
        </w:rPr>
        <w:t>。</w:t>
      </w:r>
    </w:p>
    <w:p w14:paraId="76626B22">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16.2</w:t>
      </w:r>
      <w:r>
        <w:rPr>
          <w:rFonts w:hint="eastAsia" w:asciiTheme="minorEastAsia" w:hAnsiTheme="minorEastAsia" w:eastAsiaTheme="minorEastAsia" w:cstheme="minorEastAsia"/>
          <w:sz w:val="24"/>
          <w:szCs w:val="24"/>
        </w:rPr>
        <w:t>须提供主机安全监控系统，能够监控黑客入侵过程中修改系统账号、创建敏感文件、植入Rootkit后门等行为</w:t>
      </w:r>
      <w:r>
        <w:rPr>
          <w:rFonts w:hint="eastAsia" w:asciiTheme="minorEastAsia" w:hAnsiTheme="minorEastAsia" w:eastAsiaTheme="minorEastAsia" w:cstheme="minorEastAsia"/>
          <w:b/>
          <w:bCs/>
          <w:sz w:val="24"/>
          <w:szCs w:val="24"/>
        </w:rPr>
        <w:t>（须提供包括账号口令、权限控制、敏感文件、可疑后门等黑客入侵痕迹监测功能截图）</w:t>
      </w:r>
      <w:r>
        <w:rPr>
          <w:rFonts w:hint="eastAsia" w:asciiTheme="minorEastAsia" w:hAnsiTheme="minorEastAsia" w:eastAsiaTheme="minorEastAsia" w:cstheme="minorEastAsia"/>
          <w:sz w:val="24"/>
          <w:szCs w:val="24"/>
        </w:rPr>
        <w:t>。</w:t>
      </w:r>
    </w:p>
    <w:p w14:paraId="60AC5740">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sz w:val="24"/>
          <w:szCs w:val="24"/>
          <w:lang w:val="en-US" w:eastAsia="zh-CN"/>
        </w:rPr>
        <w:t>16.3供应商</w:t>
      </w:r>
      <w:r>
        <w:rPr>
          <w:rFonts w:hint="eastAsia" w:asciiTheme="minorEastAsia" w:hAnsiTheme="minorEastAsia" w:eastAsiaTheme="minorEastAsia" w:cstheme="minorEastAsia"/>
          <w:sz w:val="24"/>
          <w:szCs w:val="24"/>
        </w:rPr>
        <w:t>需提供数字化质量控制软件平台，采购人可通过该平台对数字化加工成果进行质量抽检，软件能够显示错误率、未过清单、可适当调整图像（纠斜、去污、裁剪、旋转），还能够质检体现目录与图像分件情况是否一致，与数字化加工软件无缝对接</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b/>
          <w:bCs/>
          <w:sz w:val="24"/>
          <w:szCs w:val="24"/>
          <w:lang w:eastAsia="zh-CN"/>
        </w:rPr>
        <w:t>（</w:t>
      </w:r>
      <w:r>
        <w:rPr>
          <w:rFonts w:hint="eastAsia" w:asciiTheme="minorEastAsia" w:hAnsiTheme="minorEastAsia" w:eastAsiaTheme="minorEastAsia" w:cstheme="minorEastAsia"/>
          <w:b/>
          <w:bCs/>
          <w:sz w:val="24"/>
          <w:szCs w:val="24"/>
        </w:rPr>
        <w:t>须提供相应承诺函（格式自拟）、软件截图证明</w:t>
      </w:r>
      <w:r>
        <w:rPr>
          <w:rFonts w:hint="eastAsia" w:asciiTheme="minorEastAsia" w:hAnsiTheme="minorEastAsia" w:eastAsiaTheme="minorEastAsia" w:cstheme="minorEastAsia"/>
          <w:b/>
          <w:bCs/>
          <w:sz w:val="24"/>
          <w:szCs w:val="24"/>
          <w:lang w:eastAsia="zh-CN"/>
        </w:rPr>
        <w:t>）</w:t>
      </w:r>
    </w:p>
    <w:p w14:paraId="017CE766">
      <w:pPr>
        <w:keepNext w:val="0"/>
        <w:keepLines w:val="0"/>
        <w:pageBreakBefore w:val="0"/>
        <w:widowControl/>
        <w:kinsoku/>
        <w:wordWrap/>
        <w:overflowPunct/>
        <w:topLinePunct w:val="0"/>
        <w:autoSpaceDE/>
        <w:autoSpaceDN/>
        <w:bidi w:val="0"/>
        <w:adjustRightInd/>
        <w:snapToGrid/>
        <w:spacing w:line="40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11"/>
        <w:keepNext w:val="0"/>
        <w:keepLines w:val="0"/>
        <w:pageBreakBefore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val="0"/>
          <w:bCs w:val="0"/>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eastAsia" w:ascii="宋体" w:hAnsi="宋体" w:eastAsia="宋体" w:cs="宋体"/>
          <w:b w:val="0"/>
          <w:bCs w:val="0"/>
          <w:color w:val="auto"/>
          <w:kern w:val="0"/>
          <w:sz w:val="24"/>
          <w:szCs w:val="24"/>
          <w:highlight w:val="none"/>
        </w:rPr>
        <w:t>2025年9月30日前完成目录报送，10月30日前完成全部整档以及电子化工作</w:t>
      </w:r>
      <w:r>
        <w:rPr>
          <w:rFonts w:hint="eastAsia" w:ascii="宋体" w:hAnsi="宋体" w:cs="宋体"/>
          <w:b w:val="0"/>
          <w:bCs w:val="0"/>
          <w:color w:val="auto"/>
          <w:kern w:val="0"/>
          <w:sz w:val="24"/>
          <w:szCs w:val="24"/>
          <w:highlight w:val="none"/>
          <w:lang w:val="en-US" w:eastAsia="zh-CN"/>
        </w:rPr>
        <w:t>。</w:t>
      </w:r>
    </w:p>
    <w:p w14:paraId="6AF46AF8">
      <w:pPr>
        <w:pStyle w:val="11"/>
        <w:keepNext w:val="0"/>
        <w:keepLines w:val="0"/>
        <w:pageBreakBefore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56FD805B">
      <w:pPr>
        <w:pStyle w:val="11"/>
        <w:keepNext w:val="0"/>
        <w:keepLines w:val="0"/>
        <w:pageBreakBefore w:val="0"/>
        <w:kinsoku/>
        <w:wordWrap/>
        <w:overflowPunct/>
        <w:topLinePunct w:val="0"/>
        <w:autoSpaceDE/>
        <w:autoSpaceDN/>
        <w:bidi w:val="0"/>
        <w:adjustRightInd/>
        <w:snapToGrid/>
        <w:spacing w:after="0" w:line="40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eastAsia="宋体" w:cs="宋体"/>
          <w:b w:val="0"/>
          <w:bCs w:val="0"/>
          <w:color w:val="auto"/>
          <w:kern w:val="0"/>
          <w:sz w:val="24"/>
          <w:szCs w:val="24"/>
          <w:highlight w:val="none"/>
        </w:rPr>
        <w:t>按时按规范要求（福建省档案馆进馆标准）完成整档和数字化工作</w:t>
      </w:r>
      <w:r>
        <w:rPr>
          <w:rFonts w:hint="eastAsia" w:ascii="宋体" w:hAnsi="宋体" w:cs="宋体"/>
          <w:b w:val="0"/>
          <w:bCs w:val="0"/>
          <w:color w:val="auto"/>
          <w:kern w:val="0"/>
          <w:sz w:val="24"/>
          <w:szCs w:val="24"/>
          <w:highlight w:val="none"/>
          <w:lang w:val="en-US" w:eastAsia="zh-CN"/>
        </w:rPr>
        <w:t>，</w:t>
      </w:r>
      <w:r>
        <w:rPr>
          <w:rFonts w:hint="eastAsia" w:ascii="宋体" w:hAnsi="宋体" w:eastAsia="宋体" w:cs="宋体"/>
          <w:b w:val="0"/>
          <w:bCs w:val="0"/>
          <w:color w:val="auto"/>
          <w:kern w:val="0"/>
          <w:sz w:val="24"/>
          <w:szCs w:val="24"/>
          <w:highlight w:val="none"/>
        </w:rPr>
        <w:t>项目经采购</w:t>
      </w:r>
      <w:r>
        <w:rPr>
          <w:rFonts w:hint="eastAsia" w:ascii="宋体" w:hAnsi="宋体" w:eastAsia="宋体" w:cs="宋体"/>
          <w:b w:val="0"/>
          <w:bCs w:val="0"/>
          <w:color w:val="auto"/>
          <w:kern w:val="0"/>
          <w:sz w:val="24"/>
          <w:szCs w:val="24"/>
          <w:highlight w:val="none"/>
          <w:lang w:val="en-US" w:eastAsia="zh-CN"/>
        </w:rPr>
        <w:t>人</w:t>
      </w:r>
      <w:r>
        <w:rPr>
          <w:rFonts w:hint="eastAsia" w:ascii="宋体" w:hAnsi="宋体" w:eastAsia="宋体" w:cs="宋体"/>
          <w:b w:val="0"/>
          <w:bCs w:val="0"/>
          <w:color w:val="auto"/>
          <w:kern w:val="0"/>
          <w:sz w:val="24"/>
          <w:szCs w:val="24"/>
          <w:highlight w:val="none"/>
        </w:rPr>
        <w:t>验收后，</w:t>
      </w:r>
      <w:r>
        <w:rPr>
          <w:rFonts w:hint="eastAsia" w:ascii="宋体" w:hAnsi="宋体" w:eastAsia="宋体" w:cs="宋体"/>
          <w:b w:val="0"/>
          <w:bCs w:val="0"/>
          <w:color w:val="auto"/>
          <w:kern w:val="0"/>
          <w:sz w:val="24"/>
          <w:szCs w:val="24"/>
          <w:highlight w:val="none"/>
          <w:lang w:val="en-US" w:eastAsia="zh-CN"/>
        </w:rPr>
        <w:t>成交供应商</w:t>
      </w:r>
      <w:r>
        <w:rPr>
          <w:rFonts w:hint="eastAsia" w:ascii="宋体" w:hAnsi="宋体" w:eastAsia="宋体" w:cs="宋体"/>
          <w:b w:val="0"/>
          <w:bCs w:val="0"/>
          <w:color w:val="auto"/>
          <w:kern w:val="0"/>
          <w:sz w:val="24"/>
          <w:szCs w:val="24"/>
          <w:highlight w:val="none"/>
        </w:rPr>
        <w:t>需做好福建省档案局文书档案进馆后续相关工作。</w:t>
      </w:r>
    </w:p>
    <w:p w14:paraId="1A6354C5">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eastAsia="宋体" w:cs="宋体"/>
          <w:b w:val="0"/>
          <w:bCs w:val="0"/>
          <w:color w:val="auto"/>
          <w:sz w:val="24"/>
          <w:szCs w:val="24"/>
          <w:highlight w:val="none"/>
        </w:rPr>
        <w:t>档案整理及电子化工作结束，且经采购</w:t>
      </w:r>
      <w:r>
        <w:rPr>
          <w:rFonts w:hint="eastAsia" w:ascii="宋体" w:hAnsi="宋体" w:cs="宋体"/>
          <w:b w:val="0"/>
          <w:bCs w:val="0"/>
          <w:color w:val="auto"/>
          <w:sz w:val="24"/>
          <w:szCs w:val="24"/>
          <w:highlight w:val="none"/>
          <w:lang w:val="en-US" w:eastAsia="zh-CN"/>
        </w:rPr>
        <w:t>人</w:t>
      </w:r>
      <w:r>
        <w:rPr>
          <w:rFonts w:hint="eastAsia" w:ascii="宋体" w:hAnsi="宋体" w:eastAsia="宋体" w:cs="宋体"/>
          <w:b w:val="0"/>
          <w:bCs w:val="0"/>
          <w:color w:val="auto"/>
          <w:sz w:val="24"/>
          <w:szCs w:val="24"/>
          <w:highlight w:val="none"/>
        </w:rPr>
        <w:t>验收合格后一次性</w:t>
      </w:r>
      <w:r>
        <w:rPr>
          <w:rFonts w:hint="eastAsia" w:ascii="宋体" w:hAnsi="宋体" w:cs="宋体"/>
          <w:b w:val="0"/>
          <w:bCs w:val="0"/>
          <w:color w:val="auto"/>
          <w:sz w:val="24"/>
          <w:szCs w:val="24"/>
          <w:highlight w:val="none"/>
          <w:lang w:val="en-US" w:eastAsia="zh-CN"/>
        </w:rPr>
        <w:t>完成</w:t>
      </w:r>
      <w:r>
        <w:rPr>
          <w:rFonts w:hint="eastAsia" w:ascii="宋体" w:hAnsi="宋体" w:eastAsia="宋体" w:cs="宋体"/>
          <w:b w:val="0"/>
          <w:bCs w:val="0"/>
          <w:color w:val="auto"/>
          <w:sz w:val="24"/>
          <w:szCs w:val="24"/>
          <w:highlight w:val="none"/>
        </w:rPr>
        <w:t>支付</w:t>
      </w:r>
      <w:r>
        <w:rPr>
          <w:rFonts w:hint="eastAsia" w:ascii="宋体" w:hAnsi="宋体" w:eastAsia="宋体" w:cs="宋体"/>
          <w:b w:val="0"/>
          <w:bCs w:val="0"/>
          <w:color w:val="auto"/>
          <w:kern w:val="0"/>
          <w:sz w:val="24"/>
          <w:szCs w:val="24"/>
          <w:highlight w:val="none"/>
          <w:lang w:val="en-US" w:eastAsia="zh-CN" w:bidi="ar-SA"/>
        </w:rPr>
        <w:t>。</w:t>
      </w:r>
    </w:p>
    <w:p w14:paraId="18929153">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5709DA83">
      <w:pPr>
        <w:pStyle w:val="36"/>
        <w:keepNext w:val="0"/>
        <w:keepLines w:val="0"/>
        <w:pageBreakBefore w:val="0"/>
        <w:kinsoku/>
        <w:wordWrap/>
        <w:overflowPunct/>
        <w:topLinePunct w:val="0"/>
        <w:autoSpaceDE/>
        <w:autoSpaceDN/>
        <w:bidi w:val="0"/>
        <w:adjustRightInd/>
        <w:snapToGrid/>
        <w:spacing w:line="40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sz w:val="24"/>
          <w:szCs w:val="24"/>
          <w:shd w:val="clear" w:fill="FFFFFF"/>
        </w:rPr>
        <w:t>8、违约责任</w:t>
      </w:r>
      <w:r>
        <w:rPr>
          <w:rFonts w:hint="eastAsia" w:ascii="宋体" w:hAnsi="宋体" w:cs="宋体"/>
          <w:b/>
          <w:sz w:val="24"/>
          <w:szCs w:val="24"/>
          <w:shd w:val="clear" w:fill="FFFFFF"/>
          <w:lang w:eastAsia="zh-CN"/>
        </w:rPr>
        <w:t>：</w:t>
      </w:r>
    </w:p>
    <w:p w14:paraId="3A7179BC">
      <w:pPr>
        <w:pStyle w:val="36"/>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8.1因</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原因造成采购合同无法按时签订，视为</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违约对采购人造成的损失的，需另行支付相应的赔偿，采购人有权单方面解除合同。</w:t>
      </w:r>
    </w:p>
    <w:p w14:paraId="5CD25D4E">
      <w:pPr>
        <w:pStyle w:val="36"/>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8.2在签订采购合同之后，</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要求解除合同的，视为</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违约，对采购人造成的损失的，</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需支付相应的赔偿，采购人有权单方面解除合同。</w:t>
      </w:r>
    </w:p>
    <w:p w14:paraId="1C7DDF96">
      <w:pPr>
        <w:pStyle w:val="36"/>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8.3因</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原因发生重大质量事故，除依约承担赔偿责任外，还将按有关质量管理办法规定执行。同时，采购人有权保留更换</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的权利，并报相关行政主管部门处罚。</w:t>
      </w:r>
    </w:p>
    <w:p w14:paraId="4299F68C">
      <w:pPr>
        <w:pStyle w:val="36"/>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w:t>
      </w:r>
      <w:r>
        <w:rPr>
          <w:rFonts w:hint="eastAsia" w:ascii="宋体" w:hAnsi="宋体" w:cs="宋体"/>
          <w:sz w:val="24"/>
          <w:szCs w:val="24"/>
          <w:shd w:val="clear" w:fill="FFFFFF"/>
          <w:lang w:val="en-US" w:eastAsia="zh-CN"/>
        </w:rPr>
        <w:t>4</w:t>
      </w:r>
      <w:r>
        <w:rPr>
          <w:rFonts w:hint="eastAsia" w:ascii="宋体" w:hAnsi="宋体" w:eastAsia="宋体" w:cs="宋体"/>
          <w:sz w:val="24"/>
          <w:szCs w:val="24"/>
          <w:shd w:val="clear" w:fill="FFFFFF"/>
        </w:rPr>
        <w:t>在明确违约责任后，</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应在接到书面通知书起七</w:t>
      </w:r>
      <w:r>
        <w:rPr>
          <w:rFonts w:hint="eastAsia" w:ascii="宋体" w:hAnsi="宋体" w:cs="宋体"/>
          <w:sz w:val="24"/>
          <w:szCs w:val="24"/>
          <w:shd w:val="clear" w:fill="FFFFFF"/>
          <w:lang w:val="en-US" w:eastAsia="zh-CN"/>
        </w:rPr>
        <w:t>日</w:t>
      </w:r>
      <w:r>
        <w:rPr>
          <w:rFonts w:hint="eastAsia" w:ascii="宋体" w:hAnsi="宋体" w:eastAsia="宋体" w:cs="宋体"/>
          <w:sz w:val="24"/>
          <w:szCs w:val="24"/>
          <w:shd w:val="clear" w:fill="FFFFFF"/>
        </w:rPr>
        <w:t>内支付违约金、赔偿金等。</w:t>
      </w:r>
    </w:p>
    <w:p w14:paraId="26E81238">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eastAsia="宋体"/>
          <w:szCs w:val="24"/>
          <w:lang w:eastAsia="zh-CN"/>
        </w:rPr>
      </w:pPr>
      <w:r>
        <w:rPr>
          <w:rFonts w:hint="eastAsia" w:cs="宋体"/>
          <w:b/>
          <w:bCs/>
          <w:szCs w:val="24"/>
          <w:lang w:val="en-US" w:eastAsia="zh-CN"/>
        </w:rPr>
        <w:t>9</w:t>
      </w:r>
      <w:r>
        <w:rPr>
          <w:rFonts w:hint="eastAsia" w:ascii="宋体" w:hAnsi="宋体" w:cs="宋体"/>
          <w:b/>
          <w:bCs/>
          <w:szCs w:val="24"/>
        </w:rPr>
        <w:t>、其他事项</w:t>
      </w:r>
      <w:r>
        <w:rPr>
          <w:rFonts w:hint="eastAsia" w:cs="宋体"/>
          <w:b/>
          <w:bCs/>
          <w:szCs w:val="24"/>
          <w:lang w:eastAsia="zh-CN"/>
        </w:rPr>
        <w:t>：</w:t>
      </w:r>
    </w:p>
    <w:p w14:paraId="3DF70696">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0A772DB0">
      <w:pPr>
        <w:widowControl/>
        <w:spacing w:line="360" w:lineRule="auto"/>
        <w:jc w:val="center"/>
        <w:rPr>
          <w:rFonts w:hint="eastAsia" w:ascii="宋体" w:hAnsi="宋体"/>
          <w:b/>
          <w:bCs/>
          <w:color w:val="auto"/>
          <w:sz w:val="36"/>
          <w:szCs w:val="36"/>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4"/>
        <w:spacing w:line="360" w:lineRule="auto"/>
        <w:rPr>
          <w:color w:val="auto"/>
          <w:highlight w:val="none"/>
        </w:rPr>
      </w:pPr>
    </w:p>
    <w:p w14:paraId="1C9B7D09">
      <w:pPr>
        <w:spacing w:line="360" w:lineRule="auto"/>
        <w:rPr>
          <w:color w:val="auto"/>
          <w:highlight w:val="none"/>
        </w:rPr>
      </w:pPr>
    </w:p>
    <w:p w14:paraId="6800853C">
      <w:pPr>
        <w:pStyle w:val="4"/>
        <w:spacing w:line="360" w:lineRule="auto"/>
        <w:rPr>
          <w:color w:val="auto"/>
          <w:highlight w:val="none"/>
        </w:rPr>
      </w:pPr>
    </w:p>
    <w:p w14:paraId="5A7E61FF">
      <w:pPr>
        <w:spacing w:line="360" w:lineRule="auto"/>
        <w:rPr>
          <w:color w:val="auto"/>
          <w:highlight w:val="none"/>
        </w:rPr>
      </w:pPr>
    </w:p>
    <w:p w14:paraId="41E83152">
      <w:pPr>
        <w:pStyle w:val="5"/>
        <w:spacing w:line="360" w:lineRule="auto"/>
        <w:rPr>
          <w:rFonts w:hint="default"/>
          <w:color w:val="auto"/>
          <w:highlight w:val="none"/>
        </w:rPr>
      </w:pPr>
    </w:p>
    <w:p w14:paraId="55C069FF">
      <w:pPr>
        <w:spacing w:line="360" w:lineRule="auto"/>
        <w:rPr>
          <w:color w:val="auto"/>
          <w:highlight w:val="none"/>
        </w:rPr>
      </w:pPr>
    </w:p>
    <w:p w14:paraId="20368753">
      <w:pPr>
        <w:pStyle w:val="5"/>
        <w:spacing w:line="360" w:lineRule="auto"/>
        <w:rPr>
          <w:rFonts w:hint="default"/>
          <w:color w:val="auto"/>
          <w:highlight w:val="none"/>
        </w:rPr>
      </w:pPr>
    </w:p>
    <w:p w14:paraId="2507E28E">
      <w:pPr>
        <w:spacing w:line="360" w:lineRule="auto"/>
        <w:rPr>
          <w:color w:val="auto"/>
          <w:highlight w:val="none"/>
        </w:rPr>
      </w:pPr>
    </w:p>
    <w:p w14:paraId="68F7C44C">
      <w:pPr>
        <w:pStyle w:val="5"/>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20"/>
        <w:spacing w:line="360" w:lineRule="auto"/>
        <w:ind w:firstLine="210"/>
        <w:rPr>
          <w:color w:val="auto"/>
          <w:highlight w:val="none"/>
        </w:rPr>
      </w:pPr>
    </w:p>
    <w:p w14:paraId="6326FD37">
      <w:pPr>
        <w:pStyle w:val="6"/>
        <w:spacing w:line="360" w:lineRule="auto"/>
        <w:rPr>
          <w:color w:val="auto"/>
          <w:highlight w:val="none"/>
        </w:rPr>
      </w:pPr>
    </w:p>
    <w:p w14:paraId="3FC45419">
      <w:pPr>
        <w:pStyle w:val="11"/>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31"/>
        <w:spacing w:after="120" w:line="360" w:lineRule="auto"/>
        <w:outlineLvl w:val="9"/>
        <w:rPr>
          <w:rStyle w:val="32"/>
          <w:rFonts w:hAnsi="宋体" w:cs="宋体"/>
          <w:b/>
          <w:bCs/>
          <w:color w:val="auto"/>
          <w:sz w:val="44"/>
          <w:szCs w:val="44"/>
          <w:highlight w:val="none"/>
        </w:rPr>
      </w:pPr>
    </w:p>
    <w:p w14:paraId="3006B5DF">
      <w:pPr>
        <w:pStyle w:val="31"/>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32"/>
          <w:rFonts w:hAnsi="宋体" w:cs="宋体"/>
          <w:b/>
          <w:bCs/>
          <w:color w:val="auto"/>
          <w:sz w:val="52"/>
          <w:szCs w:val="52"/>
          <w:highlight w:val="none"/>
        </w:rPr>
      </w:pPr>
      <w:r>
        <w:rPr>
          <w:rStyle w:val="32"/>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2"/>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2"/>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2"/>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2"/>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4"/>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31"/>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31"/>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31"/>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31"/>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31"/>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31"/>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5"/>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5"/>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31"/>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31"/>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31"/>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8"/>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8"/>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8"/>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8"/>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8"/>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8"/>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8"/>
        <w:spacing w:before="0" w:beforeAutospacing="0" w:after="0" w:afterAutospacing="0" w:line="360" w:lineRule="auto"/>
        <w:rPr>
          <w:color w:val="auto"/>
          <w:highlight w:val="none"/>
        </w:rPr>
      </w:pPr>
      <w:r>
        <w:rPr>
          <w:rFonts w:hint="eastAsia"/>
          <w:color w:val="auto"/>
          <w:highlight w:val="none"/>
        </w:rPr>
        <w:t> </w:t>
      </w:r>
    </w:p>
    <w:p w14:paraId="101C9A8E">
      <w:pPr>
        <w:pStyle w:val="18"/>
        <w:spacing w:before="0" w:beforeAutospacing="0" w:after="0" w:afterAutospacing="0" w:line="360" w:lineRule="auto"/>
        <w:rPr>
          <w:color w:val="auto"/>
          <w:highlight w:val="none"/>
        </w:rPr>
      </w:pPr>
      <w:r>
        <w:rPr>
          <w:rFonts w:hint="eastAsia"/>
          <w:color w:val="auto"/>
          <w:highlight w:val="none"/>
        </w:rPr>
        <w:t>授权方</w:t>
      </w:r>
    </w:p>
    <w:p w14:paraId="6CEE7BDA">
      <w:pPr>
        <w:pStyle w:val="18"/>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8"/>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8"/>
        <w:spacing w:before="0" w:beforeAutospacing="0" w:after="0" w:afterAutospacing="0" w:line="360" w:lineRule="auto"/>
        <w:rPr>
          <w:color w:val="auto"/>
          <w:highlight w:val="none"/>
        </w:rPr>
      </w:pPr>
      <w:r>
        <w:rPr>
          <w:rFonts w:hint="eastAsia"/>
          <w:color w:val="auto"/>
          <w:highlight w:val="none"/>
        </w:rPr>
        <w:t> </w:t>
      </w:r>
    </w:p>
    <w:p w14:paraId="3FC63835">
      <w:pPr>
        <w:pStyle w:val="18"/>
        <w:spacing w:before="0" w:beforeAutospacing="0" w:after="0" w:afterAutospacing="0" w:line="360" w:lineRule="auto"/>
        <w:rPr>
          <w:color w:val="auto"/>
          <w:highlight w:val="none"/>
        </w:rPr>
      </w:pPr>
      <w:r>
        <w:rPr>
          <w:rFonts w:hint="eastAsia"/>
          <w:color w:val="auto"/>
          <w:highlight w:val="none"/>
        </w:rPr>
        <w:t>接受授权方</w:t>
      </w:r>
    </w:p>
    <w:p w14:paraId="2AFDCDD4">
      <w:pPr>
        <w:pStyle w:val="18"/>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8"/>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8"/>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78" w:hRule="atLeast"/>
          <w:tblCellSpacing w:w="15" w:type="dxa"/>
          <w:jc w:val="center"/>
        </w:trPr>
        <w:tc>
          <w:tcPr>
            <w:tcW w:w="9934" w:type="dxa"/>
            <w:tcMar>
              <w:top w:w="0" w:type="dxa"/>
              <w:left w:w="84" w:type="dxa"/>
              <w:bottom w:w="0" w:type="dxa"/>
              <w:right w:w="84" w:type="dxa"/>
            </w:tcMar>
            <w:vAlign w:val="center"/>
          </w:tcPr>
          <w:p w14:paraId="2770B023">
            <w:pPr>
              <w:pStyle w:val="18"/>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5"/>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5"/>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6"/>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969" w:type="dxa"/>
            <w:vAlign w:val="center"/>
          </w:tcPr>
          <w:p w14:paraId="438AE974">
            <w:pPr>
              <w:pStyle w:val="36"/>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6"/>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val="en-US" w:eastAsia="zh-CN"/>
              </w:rPr>
              <w:t>服务名称</w:t>
            </w:r>
          </w:p>
        </w:tc>
        <w:tc>
          <w:tcPr>
            <w:tcW w:w="2025" w:type="dxa"/>
            <w:vAlign w:val="center"/>
          </w:tcPr>
          <w:p w14:paraId="2DC13738">
            <w:pPr>
              <w:pStyle w:val="36"/>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val="en-US" w:eastAsia="zh-CN"/>
              </w:rPr>
              <w:t>服务期限</w:t>
            </w:r>
          </w:p>
        </w:tc>
        <w:tc>
          <w:tcPr>
            <w:tcW w:w="1436" w:type="dxa"/>
            <w:vAlign w:val="center"/>
          </w:tcPr>
          <w:p w14:paraId="04F9163F">
            <w:pPr>
              <w:pStyle w:val="36"/>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6"/>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6"/>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6"/>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6"/>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6"/>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6"/>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6"/>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6"/>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6"/>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6"/>
        <w:spacing w:line="360" w:lineRule="auto"/>
        <w:ind w:firstLine="480"/>
        <w:jc w:val="right"/>
        <w:rPr>
          <w:rFonts w:hint="default" w:ascii="宋体" w:hAnsi="宋体" w:cs="宋体"/>
          <w:color w:val="auto"/>
          <w:sz w:val="24"/>
          <w:szCs w:val="24"/>
          <w:highlight w:val="none"/>
        </w:rPr>
      </w:pPr>
    </w:p>
    <w:p w14:paraId="42823BB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6"/>
        <w:spacing w:line="360" w:lineRule="auto"/>
        <w:jc w:val="both"/>
        <w:rPr>
          <w:rFonts w:hint="default" w:ascii="宋体" w:hAnsi="宋体" w:cs="宋体"/>
          <w:color w:val="auto"/>
          <w:sz w:val="24"/>
          <w:szCs w:val="24"/>
          <w:highlight w:val="none"/>
        </w:rPr>
      </w:pPr>
    </w:p>
    <w:p w14:paraId="379D4CC4">
      <w:pPr>
        <w:pStyle w:val="36"/>
        <w:spacing w:line="360" w:lineRule="auto"/>
        <w:jc w:val="both"/>
        <w:rPr>
          <w:rFonts w:hint="default" w:ascii="宋体" w:hAnsi="宋体" w:cs="宋体"/>
          <w:color w:val="auto"/>
          <w:sz w:val="24"/>
          <w:szCs w:val="24"/>
          <w:highlight w:val="none"/>
        </w:rPr>
      </w:pPr>
    </w:p>
    <w:p w14:paraId="4317D954">
      <w:pPr>
        <w:pStyle w:val="36"/>
        <w:spacing w:line="360" w:lineRule="auto"/>
        <w:jc w:val="both"/>
        <w:rPr>
          <w:rFonts w:hint="default" w:ascii="宋体" w:hAnsi="宋体" w:cs="宋体"/>
          <w:color w:val="auto"/>
          <w:sz w:val="24"/>
          <w:szCs w:val="24"/>
          <w:highlight w:val="none"/>
        </w:rPr>
      </w:pPr>
    </w:p>
    <w:p w14:paraId="3D668775">
      <w:pPr>
        <w:pStyle w:val="36"/>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6"/>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8"/>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8"/>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8"/>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8"/>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8"/>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8"/>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8"/>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8"/>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8"/>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8"/>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8"/>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8"/>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8"/>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8"/>
              <w:wordWrap w:val="0"/>
              <w:spacing w:before="0" w:beforeAutospacing="0" w:after="0" w:afterAutospacing="0" w:line="360" w:lineRule="auto"/>
              <w:jc w:val="center"/>
              <w:rPr>
                <w:color w:val="auto"/>
                <w:highlight w:val="none"/>
              </w:rPr>
            </w:pPr>
          </w:p>
        </w:tc>
      </w:tr>
    </w:tbl>
    <w:p w14:paraId="4AC9942A">
      <w:pPr>
        <w:pStyle w:val="18"/>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8"/>
        <w:numPr>
          <w:ilvl w:val="0"/>
          <w:numId w:val="2"/>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6"/>
        <w:spacing w:line="360" w:lineRule="auto"/>
        <w:ind w:firstLine="480"/>
        <w:jc w:val="right"/>
        <w:rPr>
          <w:rFonts w:hint="default" w:ascii="宋体" w:hAnsi="宋体" w:cs="宋体"/>
          <w:color w:val="auto"/>
          <w:sz w:val="24"/>
          <w:szCs w:val="24"/>
          <w:highlight w:val="none"/>
          <w:lang w:eastAsia="zh-CN"/>
        </w:rPr>
      </w:pPr>
    </w:p>
    <w:p w14:paraId="0A623601">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11"/>
        <w:spacing w:line="360" w:lineRule="auto"/>
        <w:ind w:left="0" w:leftChars="0"/>
        <w:rPr>
          <w:rFonts w:ascii="宋体" w:hAnsi="宋体" w:cs="宋体"/>
          <w:color w:val="auto"/>
          <w:sz w:val="24"/>
          <w:highlight w:val="none"/>
        </w:rPr>
      </w:pPr>
    </w:p>
    <w:p w14:paraId="1119D3D2">
      <w:pPr>
        <w:pStyle w:val="16"/>
        <w:spacing w:line="360" w:lineRule="auto"/>
        <w:rPr>
          <w:rFonts w:ascii="宋体" w:hAnsi="宋体" w:cs="宋体"/>
          <w:color w:val="auto"/>
          <w:sz w:val="24"/>
          <w:highlight w:val="none"/>
        </w:rPr>
      </w:pPr>
    </w:p>
    <w:p w14:paraId="5321318A">
      <w:pPr>
        <w:pStyle w:val="16"/>
        <w:spacing w:line="360" w:lineRule="auto"/>
        <w:rPr>
          <w:rFonts w:ascii="宋体" w:hAnsi="宋体" w:cs="宋体"/>
          <w:color w:val="auto"/>
          <w:sz w:val="24"/>
          <w:highlight w:val="none"/>
        </w:rPr>
      </w:pPr>
    </w:p>
    <w:p w14:paraId="3C82014B">
      <w:pPr>
        <w:pStyle w:val="16"/>
        <w:spacing w:line="360" w:lineRule="auto"/>
        <w:rPr>
          <w:rFonts w:ascii="宋体" w:hAnsi="宋体" w:cs="宋体"/>
          <w:color w:val="auto"/>
          <w:sz w:val="24"/>
          <w:highlight w:val="none"/>
        </w:rPr>
      </w:pPr>
    </w:p>
    <w:p w14:paraId="3726D4AE">
      <w:pPr>
        <w:pStyle w:val="16"/>
        <w:spacing w:line="360" w:lineRule="auto"/>
        <w:rPr>
          <w:rFonts w:ascii="宋体" w:hAnsi="宋体" w:cs="宋体"/>
          <w:color w:val="auto"/>
          <w:sz w:val="24"/>
          <w:highlight w:val="none"/>
        </w:rPr>
      </w:pPr>
    </w:p>
    <w:p w14:paraId="0F16B34A">
      <w:pPr>
        <w:pStyle w:val="16"/>
        <w:spacing w:line="360" w:lineRule="auto"/>
        <w:rPr>
          <w:rFonts w:ascii="宋体" w:hAnsi="宋体" w:cs="宋体"/>
          <w:color w:val="auto"/>
          <w:sz w:val="24"/>
          <w:highlight w:val="none"/>
        </w:rPr>
      </w:pPr>
    </w:p>
    <w:p w14:paraId="73F56BF6">
      <w:pPr>
        <w:pStyle w:val="16"/>
        <w:spacing w:line="360" w:lineRule="auto"/>
        <w:rPr>
          <w:rFonts w:ascii="宋体" w:hAnsi="宋体" w:cs="宋体"/>
          <w:color w:val="auto"/>
          <w:sz w:val="24"/>
          <w:highlight w:val="none"/>
        </w:rPr>
      </w:pPr>
    </w:p>
    <w:p w14:paraId="61FA2276">
      <w:pPr>
        <w:pStyle w:val="16"/>
        <w:spacing w:line="360" w:lineRule="auto"/>
        <w:rPr>
          <w:rFonts w:ascii="宋体" w:hAnsi="宋体" w:cs="宋体"/>
          <w:color w:val="auto"/>
          <w:sz w:val="24"/>
          <w:highlight w:val="none"/>
        </w:rPr>
      </w:pPr>
    </w:p>
    <w:p w14:paraId="468F1230">
      <w:pPr>
        <w:pStyle w:val="16"/>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11"/>
        <w:spacing w:line="360" w:lineRule="auto"/>
        <w:ind w:left="0" w:leftChars="0"/>
        <w:rPr>
          <w:rFonts w:ascii="宋体" w:hAnsi="宋体" w:cs="宋体"/>
          <w:b/>
          <w:bCs/>
          <w:color w:val="auto"/>
          <w:sz w:val="28"/>
          <w:szCs w:val="28"/>
          <w:highlight w:val="none"/>
        </w:rPr>
      </w:pPr>
    </w:p>
    <w:p w14:paraId="2C71186F">
      <w:pPr>
        <w:pStyle w:val="16"/>
        <w:spacing w:line="360" w:lineRule="auto"/>
        <w:rPr>
          <w:rFonts w:ascii="宋体" w:hAnsi="宋体" w:cs="宋体"/>
          <w:b/>
          <w:bCs/>
          <w:color w:val="auto"/>
          <w:sz w:val="28"/>
          <w:szCs w:val="28"/>
          <w:highlight w:val="none"/>
        </w:rPr>
      </w:pPr>
    </w:p>
    <w:p w14:paraId="0776CC2D">
      <w:pPr>
        <w:pStyle w:val="16"/>
        <w:spacing w:line="360" w:lineRule="auto"/>
        <w:rPr>
          <w:rFonts w:ascii="宋体" w:hAnsi="宋体" w:cs="宋体"/>
          <w:b/>
          <w:bCs/>
          <w:color w:val="auto"/>
          <w:sz w:val="28"/>
          <w:szCs w:val="28"/>
          <w:highlight w:val="none"/>
        </w:rPr>
      </w:pPr>
    </w:p>
    <w:p w14:paraId="79EF7A83">
      <w:pPr>
        <w:pStyle w:val="11"/>
        <w:spacing w:line="360" w:lineRule="auto"/>
        <w:ind w:left="0" w:leftChars="0"/>
        <w:rPr>
          <w:rFonts w:ascii="宋体" w:hAnsi="宋体" w:cs="宋体"/>
          <w:b/>
          <w:bCs/>
          <w:color w:val="auto"/>
          <w:sz w:val="28"/>
          <w:szCs w:val="28"/>
          <w:highlight w:val="none"/>
        </w:rPr>
      </w:pPr>
    </w:p>
    <w:p w14:paraId="06B2F9FD">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6"/>
        <w:spacing w:line="360" w:lineRule="auto"/>
        <w:rPr>
          <w:rFonts w:ascii="宋体" w:hAnsi="宋体" w:cs="宋体"/>
          <w:b/>
          <w:bCs/>
          <w:color w:val="auto"/>
          <w:sz w:val="28"/>
          <w:szCs w:val="28"/>
          <w:highlight w:val="none"/>
        </w:rPr>
      </w:pPr>
    </w:p>
    <w:p w14:paraId="088FA728">
      <w:pPr>
        <w:pStyle w:val="36"/>
        <w:spacing w:line="360" w:lineRule="auto"/>
        <w:ind w:firstLine="480"/>
        <w:jc w:val="right"/>
        <w:rPr>
          <w:rFonts w:hint="default" w:ascii="宋体" w:hAnsi="宋体" w:cs="宋体"/>
          <w:color w:val="auto"/>
          <w:sz w:val="24"/>
          <w:szCs w:val="24"/>
          <w:highlight w:val="none"/>
          <w:lang w:eastAsia="zh-CN"/>
        </w:rPr>
      </w:pPr>
    </w:p>
    <w:p w14:paraId="1AA8D74A">
      <w:pPr>
        <w:pStyle w:val="36"/>
        <w:spacing w:line="360" w:lineRule="auto"/>
        <w:ind w:firstLine="480"/>
        <w:jc w:val="right"/>
        <w:rPr>
          <w:rFonts w:hint="default" w:ascii="宋体" w:hAnsi="宋体" w:cs="宋体"/>
          <w:color w:val="auto"/>
          <w:sz w:val="24"/>
          <w:szCs w:val="24"/>
          <w:highlight w:val="none"/>
          <w:lang w:eastAsia="zh-CN"/>
        </w:rPr>
      </w:pPr>
    </w:p>
    <w:p w14:paraId="5427EDC7">
      <w:pPr>
        <w:pStyle w:val="36"/>
        <w:spacing w:line="360" w:lineRule="auto"/>
        <w:ind w:firstLine="480"/>
        <w:jc w:val="right"/>
        <w:rPr>
          <w:rFonts w:hint="default" w:ascii="宋体" w:hAnsi="宋体" w:cs="宋体"/>
          <w:color w:val="auto"/>
          <w:sz w:val="24"/>
          <w:szCs w:val="24"/>
          <w:highlight w:val="none"/>
          <w:lang w:eastAsia="zh-CN"/>
        </w:rPr>
      </w:pPr>
    </w:p>
    <w:p w14:paraId="0B753577">
      <w:pPr>
        <w:pStyle w:val="36"/>
        <w:spacing w:line="360" w:lineRule="auto"/>
        <w:ind w:firstLine="480"/>
        <w:jc w:val="right"/>
        <w:rPr>
          <w:rFonts w:hint="default" w:ascii="宋体" w:hAnsi="宋体" w:cs="宋体"/>
          <w:color w:val="auto"/>
          <w:sz w:val="24"/>
          <w:szCs w:val="24"/>
          <w:highlight w:val="none"/>
          <w:lang w:eastAsia="zh-CN"/>
        </w:rPr>
      </w:pPr>
    </w:p>
    <w:p w14:paraId="2AFC039F">
      <w:pPr>
        <w:pStyle w:val="36"/>
        <w:spacing w:line="360" w:lineRule="auto"/>
        <w:ind w:firstLine="480"/>
        <w:jc w:val="right"/>
        <w:rPr>
          <w:rFonts w:hint="default" w:ascii="宋体" w:hAnsi="宋体" w:cs="宋体"/>
          <w:color w:val="auto"/>
          <w:sz w:val="24"/>
          <w:szCs w:val="24"/>
          <w:highlight w:val="none"/>
          <w:lang w:eastAsia="zh-CN"/>
        </w:rPr>
      </w:pPr>
    </w:p>
    <w:p w14:paraId="36ECBE1C">
      <w:pPr>
        <w:pStyle w:val="36"/>
        <w:spacing w:line="360" w:lineRule="auto"/>
        <w:ind w:firstLine="480"/>
        <w:jc w:val="right"/>
        <w:rPr>
          <w:rFonts w:hint="default" w:ascii="宋体" w:hAnsi="宋体" w:cs="宋体"/>
          <w:color w:val="auto"/>
          <w:sz w:val="24"/>
          <w:szCs w:val="24"/>
          <w:highlight w:val="none"/>
          <w:lang w:eastAsia="zh-CN"/>
        </w:rPr>
      </w:pPr>
    </w:p>
    <w:p w14:paraId="50C0A2E0">
      <w:pPr>
        <w:pStyle w:val="36"/>
        <w:spacing w:line="360" w:lineRule="auto"/>
        <w:ind w:firstLine="480"/>
        <w:jc w:val="right"/>
        <w:rPr>
          <w:rFonts w:hint="default" w:ascii="宋体" w:hAnsi="宋体" w:cs="宋体"/>
          <w:color w:val="auto"/>
          <w:sz w:val="24"/>
          <w:szCs w:val="24"/>
          <w:highlight w:val="none"/>
          <w:lang w:eastAsia="zh-CN"/>
        </w:rPr>
      </w:pPr>
    </w:p>
    <w:p w14:paraId="7BEACA2A">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6"/>
        <w:spacing w:line="360" w:lineRule="auto"/>
        <w:rPr>
          <w:rFonts w:ascii="宋体" w:hAnsi="宋体" w:cs="宋体"/>
          <w:b/>
          <w:bCs/>
          <w:color w:val="auto"/>
          <w:sz w:val="28"/>
          <w:szCs w:val="28"/>
          <w:highlight w:val="none"/>
        </w:rPr>
      </w:pPr>
    </w:p>
    <w:p w14:paraId="31F6CFBA">
      <w:pPr>
        <w:pStyle w:val="11"/>
        <w:spacing w:line="360" w:lineRule="auto"/>
        <w:ind w:left="0" w:leftChars="0"/>
        <w:jc w:val="center"/>
        <w:rPr>
          <w:rFonts w:ascii="宋体" w:hAnsi="宋体" w:cs="宋体"/>
          <w:b/>
          <w:bCs/>
          <w:color w:val="auto"/>
          <w:sz w:val="28"/>
          <w:szCs w:val="28"/>
          <w:highlight w:val="none"/>
        </w:rPr>
      </w:pPr>
    </w:p>
    <w:p w14:paraId="37897154">
      <w:pPr>
        <w:pStyle w:val="11"/>
        <w:spacing w:line="360" w:lineRule="auto"/>
        <w:ind w:left="0" w:leftChars="0"/>
        <w:jc w:val="center"/>
        <w:rPr>
          <w:rFonts w:ascii="宋体" w:hAnsi="宋体" w:cs="宋体"/>
          <w:b/>
          <w:bCs/>
          <w:color w:val="auto"/>
          <w:sz w:val="28"/>
          <w:szCs w:val="28"/>
          <w:highlight w:val="none"/>
        </w:rPr>
      </w:pPr>
    </w:p>
    <w:p w14:paraId="19D064AE">
      <w:pPr>
        <w:pStyle w:val="11"/>
        <w:spacing w:line="360" w:lineRule="auto"/>
        <w:ind w:left="0" w:leftChars="0"/>
        <w:jc w:val="center"/>
        <w:rPr>
          <w:rFonts w:ascii="宋体" w:hAnsi="宋体" w:cs="宋体"/>
          <w:b/>
          <w:bCs/>
          <w:color w:val="auto"/>
          <w:sz w:val="28"/>
          <w:szCs w:val="28"/>
          <w:highlight w:val="none"/>
        </w:rPr>
      </w:pPr>
    </w:p>
    <w:p w14:paraId="0ED390FA">
      <w:pPr>
        <w:pStyle w:val="11"/>
        <w:spacing w:line="360" w:lineRule="auto"/>
        <w:ind w:left="0" w:leftChars="0"/>
        <w:jc w:val="center"/>
        <w:rPr>
          <w:rFonts w:ascii="宋体" w:hAnsi="宋体" w:cs="宋体"/>
          <w:b/>
          <w:bCs/>
          <w:color w:val="auto"/>
          <w:sz w:val="28"/>
          <w:szCs w:val="28"/>
          <w:highlight w:val="none"/>
        </w:rPr>
      </w:pPr>
    </w:p>
    <w:p w14:paraId="3C84BE07">
      <w:pPr>
        <w:pStyle w:val="11"/>
        <w:spacing w:line="360" w:lineRule="auto"/>
        <w:ind w:left="0" w:leftChars="0"/>
        <w:jc w:val="center"/>
        <w:rPr>
          <w:rFonts w:ascii="宋体" w:hAnsi="宋体" w:cs="宋体"/>
          <w:b/>
          <w:bCs/>
          <w:color w:val="auto"/>
          <w:sz w:val="28"/>
          <w:szCs w:val="28"/>
          <w:highlight w:val="none"/>
        </w:rPr>
      </w:pPr>
    </w:p>
    <w:p w14:paraId="64E4F662">
      <w:pPr>
        <w:pStyle w:val="11"/>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11"/>
        <w:spacing w:line="360" w:lineRule="auto"/>
        <w:ind w:left="0" w:leftChars="0"/>
        <w:jc w:val="center"/>
        <w:rPr>
          <w:rFonts w:ascii="宋体" w:hAnsi="宋体" w:cs="宋体"/>
          <w:b/>
          <w:bCs/>
          <w:color w:val="auto"/>
          <w:sz w:val="28"/>
          <w:szCs w:val="28"/>
          <w:highlight w:val="none"/>
        </w:rPr>
      </w:pPr>
    </w:p>
    <w:p w14:paraId="7CEA87EF">
      <w:pPr>
        <w:pStyle w:val="11"/>
        <w:spacing w:line="360" w:lineRule="auto"/>
        <w:ind w:left="0" w:leftChars="0"/>
        <w:jc w:val="center"/>
        <w:rPr>
          <w:rFonts w:ascii="宋体" w:hAnsi="宋体" w:cs="宋体"/>
          <w:b/>
          <w:bCs/>
          <w:color w:val="auto"/>
          <w:sz w:val="28"/>
          <w:szCs w:val="28"/>
          <w:highlight w:val="none"/>
        </w:rPr>
      </w:pPr>
    </w:p>
    <w:p w14:paraId="331B2308">
      <w:pPr>
        <w:pStyle w:val="11"/>
        <w:spacing w:line="360" w:lineRule="auto"/>
        <w:ind w:left="0" w:leftChars="0"/>
        <w:jc w:val="center"/>
        <w:rPr>
          <w:rFonts w:ascii="宋体" w:hAnsi="宋体" w:cs="宋体"/>
          <w:b/>
          <w:bCs/>
          <w:color w:val="auto"/>
          <w:sz w:val="28"/>
          <w:szCs w:val="28"/>
          <w:highlight w:val="none"/>
        </w:rPr>
      </w:pPr>
    </w:p>
    <w:p w14:paraId="574F2A9B">
      <w:pPr>
        <w:pStyle w:val="11"/>
        <w:spacing w:line="360" w:lineRule="auto"/>
        <w:ind w:left="0" w:leftChars="0"/>
        <w:jc w:val="center"/>
        <w:rPr>
          <w:rFonts w:ascii="宋体" w:hAnsi="宋体" w:cs="宋体"/>
          <w:b/>
          <w:bCs/>
          <w:color w:val="auto"/>
          <w:sz w:val="28"/>
          <w:szCs w:val="28"/>
          <w:highlight w:val="none"/>
        </w:rPr>
      </w:pPr>
    </w:p>
    <w:p w14:paraId="3DB00B56">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6"/>
        <w:spacing w:line="360" w:lineRule="auto"/>
        <w:rPr>
          <w:rFonts w:ascii="宋体" w:hAnsi="宋体" w:cs="宋体"/>
          <w:b/>
          <w:bCs/>
          <w:color w:val="auto"/>
          <w:sz w:val="28"/>
          <w:szCs w:val="28"/>
          <w:highlight w:val="none"/>
        </w:rPr>
      </w:pPr>
    </w:p>
    <w:p w14:paraId="70DC87A6">
      <w:pPr>
        <w:pStyle w:val="36"/>
        <w:spacing w:line="360" w:lineRule="auto"/>
        <w:ind w:firstLine="480"/>
        <w:jc w:val="right"/>
        <w:rPr>
          <w:rFonts w:hint="default" w:ascii="宋体" w:hAnsi="宋体" w:cs="宋体"/>
          <w:color w:val="auto"/>
          <w:sz w:val="24"/>
          <w:szCs w:val="24"/>
          <w:highlight w:val="none"/>
          <w:lang w:eastAsia="zh-CN"/>
        </w:rPr>
      </w:pPr>
    </w:p>
    <w:p w14:paraId="54C846C4">
      <w:pPr>
        <w:pStyle w:val="36"/>
        <w:spacing w:line="360" w:lineRule="auto"/>
        <w:ind w:firstLine="480"/>
        <w:jc w:val="right"/>
        <w:rPr>
          <w:rFonts w:hint="default" w:ascii="宋体" w:hAnsi="宋体" w:cs="宋体"/>
          <w:color w:val="auto"/>
          <w:sz w:val="24"/>
          <w:szCs w:val="24"/>
          <w:highlight w:val="none"/>
          <w:lang w:eastAsia="zh-CN"/>
        </w:rPr>
      </w:pPr>
    </w:p>
    <w:p w14:paraId="77363007">
      <w:pPr>
        <w:pStyle w:val="36"/>
        <w:spacing w:line="360" w:lineRule="auto"/>
        <w:ind w:firstLine="480"/>
        <w:jc w:val="right"/>
        <w:rPr>
          <w:rFonts w:hint="default" w:ascii="宋体" w:hAnsi="宋体" w:cs="宋体"/>
          <w:color w:val="auto"/>
          <w:sz w:val="24"/>
          <w:szCs w:val="24"/>
          <w:highlight w:val="none"/>
          <w:lang w:eastAsia="zh-CN"/>
        </w:rPr>
      </w:pPr>
    </w:p>
    <w:p w14:paraId="20DF0C08">
      <w:pPr>
        <w:pStyle w:val="36"/>
        <w:spacing w:line="360" w:lineRule="auto"/>
        <w:ind w:firstLine="480"/>
        <w:jc w:val="right"/>
        <w:rPr>
          <w:rFonts w:hint="default" w:ascii="宋体" w:hAnsi="宋体" w:cs="宋体"/>
          <w:color w:val="auto"/>
          <w:sz w:val="24"/>
          <w:szCs w:val="24"/>
          <w:highlight w:val="none"/>
          <w:lang w:eastAsia="zh-CN"/>
        </w:rPr>
      </w:pPr>
    </w:p>
    <w:p w14:paraId="0AA1C83D">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6"/>
        <w:spacing w:line="360" w:lineRule="auto"/>
        <w:rPr>
          <w:rFonts w:ascii="宋体" w:hAnsi="宋体" w:cs="宋体"/>
          <w:b/>
          <w:bCs/>
          <w:color w:val="auto"/>
          <w:sz w:val="28"/>
          <w:szCs w:val="28"/>
          <w:highlight w:val="none"/>
        </w:rPr>
      </w:pPr>
    </w:p>
    <w:p w14:paraId="22A9EDD9">
      <w:pPr>
        <w:pStyle w:val="16"/>
        <w:spacing w:line="360" w:lineRule="auto"/>
        <w:rPr>
          <w:color w:val="auto"/>
          <w:highlight w:val="none"/>
        </w:rPr>
      </w:pPr>
    </w:p>
    <w:p w14:paraId="01C7C78E">
      <w:pPr>
        <w:pStyle w:val="16"/>
        <w:spacing w:line="360" w:lineRule="auto"/>
        <w:rPr>
          <w:color w:val="auto"/>
          <w:highlight w:val="none"/>
        </w:rPr>
      </w:pPr>
    </w:p>
    <w:p w14:paraId="35556AE7">
      <w:pPr>
        <w:pStyle w:val="16"/>
        <w:spacing w:line="360" w:lineRule="auto"/>
        <w:rPr>
          <w:color w:val="auto"/>
          <w:highlight w:val="none"/>
        </w:rPr>
      </w:pPr>
    </w:p>
    <w:p w14:paraId="4E1A6E85">
      <w:pPr>
        <w:pStyle w:val="16"/>
        <w:spacing w:line="360" w:lineRule="auto"/>
        <w:rPr>
          <w:color w:val="auto"/>
          <w:highlight w:val="none"/>
        </w:rPr>
      </w:pPr>
    </w:p>
    <w:p w14:paraId="46AD2750">
      <w:pPr>
        <w:pStyle w:val="16"/>
        <w:spacing w:line="360" w:lineRule="auto"/>
        <w:rPr>
          <w:color w:val="auto"/>
          <w:highlight w:val="none"/>
        </w:rPr>
      </w:pPr>
    </w:p>
    <w:p w14:paraId="1913FC5F">
      <w:pPr>
        <w:pStyle w:val="16"/>
        <w:spacing w:line="360" w:lineRule="auto"/>
        <w:rPr>
          <w:color w:val="auto"/>
          <w:highlight w:val="none"/>
        </w:rPr>
      </w:pPr>
    </w:p>
    <w:p w14:paraId="61F60254">
      <w:pPr>
        <w:pStyle w:val="16"/>
        <w:spacing w:line="360" w:lineRule="auto"/>
        <w:rPr>
          <w:color w:val="auto"/>
          <w:highlight w:val="none"/>
        </w:rPr>
      </w:pPr>
    </w:p>
    <w:p w14:paraId="02CCF8EF">
      <w:pPr>
        <w:pStyle w:val="16"/>
        <w:spacing w:line="360" w:lineRule="auto"/>
        <w:rPr>
          <w:color w:val="auto"/>
          <w:highlight w:val="none"/>
        </w:rPr>
      </w:pPr>
    </w:p>
    <w:p w14:paraId="40D9D294">
      <w:pPr>
        <w:pStyle w:val="16"/>
        <w:spacing w:line="360" w:lineRule="auto"/>
        <w:rPr>
          <w:color w:val="auto"/>
          <w:highlight w:val="none"/>
        </w:rPr>
      </w:pPr>
    </w:p>
    <w:p w14:paraId="26CFA76D">
      <w:pPr>
        <w:pStyle w:val="16"/>
        <w:spacing w:line="360" w:lineRule="auto"/>
        <w:rPr>
          <w:color w:val="auto"/>
          <w:highlight w:val="none"/>
        </w:rPr>
      </w:pPr>
    </w:p>
    <w:p w14:paraId="6236DE25">
      <w:pPr>
        <w:pStyle w:val="16"/>
        <w:spacing w:line="360" w:lineRule="auto"/>
        <w:rPr>
          <w:color w:val="auto"/>
          <w:highlight w:val="none"/>
        </w:rPr>
      </w:pPr>
    </w:p>
    <w:p w14:paraId="3DC90531">
      <w:pPr>
        <w:pStyle w:val="16"/>
        <w:spacing w:line="360" w:lineRule="auto"/>
        <w:rPr>
          <w:color w:val="auto"/>
          <w:highlight w:val="none"/>
        </w:rPr>
      </w:pPr>
    </w:p>
    <w:p w14:paraId="6810E63F">
      <w:pPr>
        <w:pStyle w:val="16"/>
        <w:spacing w:line="360" w:lineRule="auto"/>
        <w:rPr>
          <w:color w:val="auto"/>
          <w:highlight w:val="none"/>
        </w:rPr>
      </w:pPr>
    </w:p>
    <w:p w14:paraId="2D859747">
      <w:pPr>
        <w:pStyle w:val="16"/>
        <w:spacing w:line="360" w:lineRule="auto"/>
        <w:rPr>
          <w:color w:val="auto"/>
          <w:highlight w:val="none"/>
        </w:rPr>
      </w:pPr>
    </w:p>
    <w:p w14:paraId="1A9B0A73">
      <w:pPr>
        <w:pStyle w:val="16"/>
        <w:spacing w:line="360" w:lineRule="auto"/>
        <w:rPr>
          <w:color w:val="auto"/>
          <w:highlight w:val="none"/>
        </w:rPr>
      </w:pPr>
    </w:p>
    <w:p w14:paraId="09BAEE96">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6"/>
        <w:spacing w:line="360" w:lineRule="auto"/>
        <w:rPr>
          <w:rFonts w:ascii="楷体_GB2312" w:eastAsia="楷体_GB2312"/>
          <w:b/>
          <w:color w:val="auto"/>
          <w:sz w:val="40"/>
          <w:szCs w:val="40"/>
          <w:highlight w:val="none"/>
        </w:rPr>
      </w:pPr>
    </w:p>
    <w:p w14:paraId="5AB94BE7">
      <w:pPr>
        <w:pStyle w:val="11"/>
        <w:spacing w:line="360" w:lineRule="auto"/>
        <w:rPr>
          <w:rFonts w:ascii="楷体_GB2312" w:eastAsia="楷体_GB2312"/>
          <w:b/>
          <w:color w:val="auto"/>
          <w:sz w:val="40"/>
          <w:szCs w:val="40"/>
          <w:highlight w:val="none"/>
        </w:rPr>
      </w:pPr>
    </w:p>
    <w:p w14:paraId="2A9355F0">
      <w:pPr>
        <w:pStyle w:val="6"/>
        <w:spacing w:line="360" w:lineRule="auto"/>
        <w:rPr>
          <w:rFonts w:ascii="楷体_GB2312" w:eastAsia="楷体_GB2312"/>
          <w:b/>
          <w:color w:val="auto"/>
          <w:sz w:val="40"/>
          <w:szCs w:val="40"/>
          <w:highlight w:val="none"/>
        </w:rPr>
      </w:pPr>
    </w:p>
    <w:p w14:paraId="68ED7677">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6"/>
        <w:spacing w:line="360" w:lineRule="auto"/>
        <w:rPr>
          <w:rFonts w:ascii="宋体" w:hAnsi="宋体" w:cs="宋体"/>
          <w:b/>
          <w:bCs/>
          <w:color w:val="auto"/>
          <w:sz w:val="28"/>
          <w:szCs w:val="28"/>
          <w:highlight w:val="none"/>
        </w:rPr>
      </w:pPr>
    </w:p>
    <w:p w14:paraId="5329AB93">
      <w:pPr>
        <w:pStyle w:val="36"/>
        <w:spacing w:line="360" w:lineRule="auto"/>
        <w:ind w:firstLine="480"/>
        <w:jc w:val="right"/>
        <w:rPr>
          <w:rFonts w:hint="default" w:ascii="宋体" w:hAnsi="宋体" w:cs="宋体"/>
          <w:color w:val="auto"/>
          <w:sz w:val="24"/>
          <w:szCs w:val="24"/>
          <w:highlight w:val="none"/>
          <w:lang w:eastAsia="zh-CN"/>
        </w:rPr>
      </w:pPr>
    </w:p>
    <w:p w14:paraId="4450A9AB">
      <w:pPr>
        <w:pStyle w:val="36"/>
        <w:spacing w:line="360" w:lineRule="auto"/>
        <w:ind w:firstLine="480"/>
        <w:jc w:val="right"/>
        <w:rPr>
          <w:rFonts w:hint="default" w:ascii="宋体" w:hAnsi="宋体" w:cs="宋体"/>
          <w:color w:val="auto"/>
          <w:sz w:val="24"/>
          <w:szCs w:val="24"/>
          <w:highlight w:val="none"/>
          <w:lang w:eastAsia="zh-CN"/>
        </w:rPr>
      </w:pPr>
    </w:p>
    <w:p w14:paraId="2771A5B9">
      <w:pPr>
        <w:pStyle w:val="36"/>
        <w:spacing w:line="360" w:lineRule="auto"/>
        <w:ind w:firstLine="480"/>
        <w:jc w:val="right"/>
        <w:rPr>
          <w:rFonts w:hint="default" w:ascii="宋体" w:hAnsi="宋体" w:cs="宋体"/>
          <w:color w:val="auto"/>
          <w:sz w:val="24"/>
          <w:szCs w:val="24"/>
          <w:highlight w:val="none"/>
          <w:lang w:eastAsia="zh-CN"/>
        </w:rPr>
      </w:pPr>
    </w:p>
    <w:p w14:paraId="2090BCE7">
      <w:pPr>
        <w:pStyle w:val="36"/>
        <w:spacing w:line="360" w:lineRule="auto"/>
        <w:ind w:firstLine="480"/>
        <w:jc w:val="right"/>
        <w:rPr>
          <w:rFonts w:hint="default" w:ascii="宋体" w:hAnsi="宋体" w:cs="宋体"/>
          <w:color w:val="auto"/>
          <w:sz w:val="24"/>
          <w:szCs w:val="24"/>
          <w:highlight w:val="none"/>
          <w:lang w:eastAsia="zh-CN"/>
        </w:rPr>
      </w:pPr>
    </w:p>
    <w:p w14:paraId="2208D485">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6"/>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11"/>
        <w:spacing w:line="360" w:lineRule="auto"/>
        <w:rPr>
          <w:rFonts w:ascii="楷体_GB2312" w:eastAsia="楷体_GB2312"/>
          <w:b/>
          <w:color w:val="auto"/>
          <w:sz w:val="44"/>
          <w:szCs w:val="44"/>
          <w:highlight w:val="none"/>
        </w:rPr>
      </w:pPr>
    </w:p>
    <w:p w14:paraId="759833BB">
      <w:pPr>
        <w:pStyle w:val="6"/>
        <w:spacing w:line="360" w:lineRule="auto"/>
        <w:rPr>
          <w:rFonts w:ascii="楷体_GB2312" w:eastAsia="楷体_GB2312"/>
          <w:b/>
          <w:color w:val="auto"/>
          <w:sz w:val="44"/>
          <w:szCs w:val="44"/>
          <w:highlight w:val="none"/>
        </w:rPr>
      </w:pPr>
    </w:p>
    <w:p w14:paraId="798D6749">
      <w:pPr>
        <w:pStyle w:val="11"/>
        <w:spacing w:line="360" w:lineRule="auto"/>
        <w:rPr>
          <w:rFonts w:ascii="楷体_GB2312" w:eastAsia="楷体_GB2312"/>
          <w:b/>
          <w:color w:val="auto"/>
          <w:sz w:val="44"/>
          <w:szCs w:val="44"/>
          <w:highlight w:val="none"/>
        </w:rPr>
      </w:pPr>
    </w:p>
    <w:p w14:paraId="279E5D08">
      <w:pPr>
        <w:pStyle w:val="6"/>
        <w:spacing w:line="360" w:lineRule="auto"/>
        <w:rPr>
          <w:rFonts w:ascii="楷体_GB2312" w:eastAsia="楷体_GB2312"/>
          <w:b/>
          <w:color w:val="auto"/>
          <w:sz w:val="44"/>
          <w:szCs w:val="44"/>
          <w:highlight w:val="none"/>
        </w:rPr>
      </w:pPr>
    </w:p>
    <w:p w14:paraId="10B705AE">
      <w:pPr>
        <w:pStyle w:val="11"/>
        <w:spacing w:line="360" w:lineRule="auto"/>
        <w:rPr>
          <w:rFonts w:ascii="楷体_GB2312" w:eastAsia="楷体_GB2312"/>
          <w:b/>
          <w:color w:val="auto"/>
          <w:sz w:val="44"/>
          <w:szCs w:val="44"/>
          <w:highlight w:val="none"/>
        </w:rPr>
      </w:pPr>
    </w:p>
    <w:p w14:paraId="39C7FEC2">
      <w:pPr>
        <w:pStyle w:val="6"/>
        <w:spacing w:line="360" w:lineRule="auto"/>
        <w:rPr>
          <w:color w:val="auto"/>
          <w:highlight w:val="none"/>
        </w:rPr>
      </w:pPr>
    </w:p>
    <w:p w14:paraId="720CD7AA">
      <w:pPr>
        <w:pStyle w:val="11"/>
        <w:spacing w:line="360" w:lineRule="auto"/>
        <w:rPr>
          <w:rFonts w:ascii="楷体_GB2312" w:eastAsia="楷体_GB2312"/>
          <w:b/>
          <w:color w:val="auto"/>
          <w:sz w:val="44"/>
          <w:szCs w:val="44"/>
          <w:highlight w:val="none"/>
        </w:rPr>
      </w:pPr>
    </w:p>
    <w:p w14:paraId="7B4478DC">
      <w:pPr>
        <w:pStyle w:val="6"/>
        <w:spacing w:line="360" w:lineRule="auto"/>
        <w:rPr>
          <w:rFonts w:ascii="楷体_GB2312" w:eastAsia="楷体_GB2312"/>
          <w:b/>
          <w:color w:val="auto"/>
          <w:sz w:val="44"/>
          <w:szCs w:val="44"/>
          <w:highlight w:val="none"/>
        </w:rPr>
      </w:pPr>
    </w:p>
    <w:p w14:paraId="464E176B">
      <w:pPr>
        <w:pStyle w:val="11"/>
        <w:spacing w:line="360" w:lineRule="auto"/>
        <w:rPr>
          <w:rFonts w:ascii="楷体_GB2312" w:eastAsia="楷体_GB2312"/>
          <w:b/>
          <w:color w:val="auto"/>
          <w:sz w:val="44"/>
          <w:szCs w:val="44"/>
          <w:highlight w:val="none"/>
        </w:rPr>
      </w:pPr>
    </w:p>
    <w:p w14:paraId="7FED9A71">
      <w:pPr>
        <w:pStyle w:val="6"/>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31"/>
        <w:spacing w:after="120" w:line="360" w:lineRule="auto"/>
        <w:outlineLvl w:val="9"/>
        <w:rPr>
          <w:rStyle w:val="32"/>
          <w:rFonts w:hAnsi="宋体" w:cs="宋体"/>
          <w:b/>
          <w:bCs/>
          <w:color w:val="auto"/>
          <w:sz w:val="44"/>
          <w:szCs w:val="44"/>
          <w:highlight w:val="none"/>
        </w:rPr>
      </w:pPr>
    </w:p>
    <w:p w14:paraId="035C09F0">
      <w:pPr>
        <w:pStyle w:val="31"/>
        <w:spacing w:after="120" w:line="360" w:lineRule="auto"/>
        <w:jc w:val="center"/>
        <w:outlineLvl w:val="9"/>
        <w:rPr>
          <w:rStyle w:val="32"/>
          <w:rFonts w:hAnsi="宋体" w:cs="宋体"/>
          <w:b/>
          <w:bCs/>
          <w:color w:val="auto"/>
          <w:sz w:val="44"/>
          <w:szCs w:val="44"/>
          <w:highlight w:val="none"/>
        </w:rPr>
      </w:pPr>
      <w:r>
        <w:rPr>
          <w:rStyle w:val="32"/>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2"/>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2"/>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2"/>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5"/>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4"/>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4"/>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001"/>
        <w:gridCol w:w="1485"/>
        <w:gridCol w:w="1134"/>
        <w:gridCol w:w="1487"/>
        <w:gridCol w:w="1802"/>
        <w:gridCol w:w="1802"/>
      </w:tblGrid>
      <w:tr w14:paraId="30D04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785" w:type="dxa"/>
            <w:vAlign w:val="center"/>
          </w:tcPr>
          <w:p w14:paraId="6EC853A3">
            <w:pPr>
              <w:pStyle w:val="12"/>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01" w:type="dxa"/>
            <w:vAlign w:val="center"/>
          </w:tcPr>
          <w:p w14:paraId="78DDEA58">
            <w:pPr>
              <w:pStyle w:val="12"/>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485" w:type="dxa"/>
            <w:vAlign w:val="center"/>
          </w:tcPr>
          <w:p w14:paraId="224954FE">
            <w:pPr>
              <w:pStyle w:val="12"/>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服务名称</w:t>
            </w:r>
          </w:p>
        </w:tc>
        <w:tc>
          <w:tcPr>
            <w:tcW w:w="1134" w:type="dxa"/>
            <w:vAlign w:val="center"/>
          </w:tcPr>
          <w:p w14:paraId="01BA6441">
            <w:pPr>
              <w:pStyle w:val="12"/>
              <w:snapToGrid w:val="0"/>
              <w:spacing w:line="240" w:lineRule="auto"/>
              <w:ind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数量</w:t>
            </w:r>
          </w:p>
        </w:tc>
        <w:tc>
          <w:tcPr>
            <w:tcW w:w="1487" w:type="dxa"/>
            <w:vAlign w:val="center"/>
          </w:tcPr>
          <w:p w14:paraId="38B8ED99">
            <w:pPr>
              <w:pStyle w:val="12"/>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1802" w:type="dxa"/>
            <w:vAlign w:val="center"/>
          </w:tcPr>
          <w:p w14:paraId="58C53318">
            <w:pPr>
              <w:pStyle w:val="12"/>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eastAsia="宋体"/>
                <w:color w:val="auto"/>
                <w:kern w:val="2"/>
                <w:sz w:val="24"/>
                <w:highlight w:val="none"/>
                <w:lang w:val="en-US" w:eastAsia="zh-CN"/>
              </w:rPr>
              <w:t>投标单价</w:t>
            </w:r>
          </w:p>
        </w:tc>
        <w:tc>
          <w:tcPr>
            <w:tcW w:w="1802" w:type="dxa"/>
            <w:vAlign w:val="center"/>
          </w:tcPr>
          <w:p w14:paraId="4D396362">
            <w:pPr>
              <w:pStyle w:val="12"/>
              <w:snapToGrid w:val="0"/>
              <w:spacing w:line="240" w:lineRule="auto"/>
              <w:ind w:left="-105" w:leftChars="-50" w:right="-105" w:rightChars="-50"/>
              <w:jc w:val="center"/>
              <w:rPr>
                <w:rFonts w:hint="eastAsia" w:hAnsi="宋体"/>
                <w:color w:val="auto"/>
                <w:kern w:val="2"/>
                <w:sz w:val="24"/>
                <w:highlight w:val="none"/>
                <w:lang w:val="en-US" w:eastAsia="zh-CN"/>
              </w:rPr>
            </w:pPr>
            <w:r>
              <w:rPr>
                <w:rFonts w:hint="eastAsia" w:hAnsi="宋体"/>
                <w:color w:val="auto"/>
                <w:kern w:val="2"/>
                <w:sz w:val="24"/>
                <w:highlight w:val="none"/>
                <w:lang w:val="en-US" w:eastAsia="zh-CN"/>
              </w:rPr>
              <w:t>投标总价</w:t>
            </w:r>
          </w:p>
        </w:tc>
      </w:tr>
      <w:tr w14:paraId="3F13E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4" w:hRule="exact"/>
          <w:jc w:val="center"/>
        </w:trPr>
        <w:tc>
          <w:tcPr>
            <w:tcW w:w="785"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01" w:type="dxa"/>
            <w:vAlign w:val="center"/>
          </w:tcPr>
          <w:p w14:paraId="087196A1">
            <w:pPr>
              <w:snapToGrid w:val="0"/>
              <w:spacing w:line="24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1-1</w:t>
            </w:r>
          </w:p>
        </w:tc>
        <w:tc>
          <w:tcPr>
            <w:tcW w:w="1485" w:type="dxa"/>
            <w:vAlign w:val="center"/>
          </w:tcPr>
          <w:p w14:paraId="62261F02">
            <w:pPr>
              <w:snapToGrid w:val="0"/>
              <w:spacing w:line="240" w:lineRule="auto"/>
              <w:jc w:val="center"/>
              <w:rPr>
                <w:rFonts w:ascii="宋体" w:hAnsi="宋体"/>
                <w:color w:val="auto"/>
                <w:sz w:val="24"/>
                <w:highlight w:val="none"/>
              </w:rPr>
            </w:pPr>
          </w:p>
        </w:tc>
        <w:tc>
          <w:tcPr>
            <w:tcW w:w="1134" w:type="dxa"/>
            <w:vAlign w:val="center"/>
          </w:tcPr>
          <w:p w14:paraId="205748A0">
            <w:pPr>
              <w:snapToGrid w:val="0"/>
              <w:spacing w:line="240" w:lineRule="auto"/>
              <w:jc w:val="center"/>
              <w:rPr>
                <w:rFonts w:ascii="宋体" w:hAnsi="宋体"/>
                <w:color w:val="auto"/>
                <w:sz w:val="24"/>
                <w:highlight w:val="none"/>
              </w:rPr>
            </w:pPr>
          </w:p>
        </w:tc>
        <w:tc>
          <w:tcPr>
            <w:tcW w:w="1487" w:type="dxa"/>
            <w:vAlign w:val="center"/>
          </w:tcPr>
          <w:p w14:paraId="5F9E2280">
            <w:pPr>
              <w:snapToGrid w:val="0"/>
              <w:spacing w:line="240" w:lineRule="auto"/>
              <w:jc w:val="center"/>
              <w:rPr>
                <w:rFonts w:ascii="宋体" w:hAnsi="宋体" w:cs="宋体"/>
                <w:color w:val="auto"/>
                <w:kern w:val="0"/>
                <w:sz w:val="24"/>
                <w:highlight w:val="none"/>
              </w:rPr>
            </w:pPr>
          </w:p>
        </w:tc>
        <w:tc>
          <w:tcPr>
            <w:tcW w:w="1802" w:type="dxa"/>
            <w:vAlign w:val="center"/>
          </w:tcPr>
          <w:p w14:paraId="2F9659AC">
            <w:pPr>
              <w:widowControl/>
              <w:spacing w:line="240" w:lineRule="auto"/>
              <w:jc w:val="left"/>
              <w:rPr>
                <w:rFonts w:ascii="宋体" w:hAnsi="宋体"/>
                <w:color w:val="auto"/>
                <w:sz w:val="24"/>
                <w:highlight w:val="none"/>
              </w:rPr>
            </w:pPr>
          </w:p>
        </w:tc>
        <w:tc>
          <w:tcPr>
            <w:tcW w:w="1802" w:type="dxa"/>
            <w:vAlign w:val="center"/>
          </w:tcPr>
          <w:p w14:paraId="14C46726">
            <w:pPr>
              <w:widowControl/>
              <w:spacing w:line="240" w:lineRule="auto"/>
              <w:jc w:val="left"/>
              <w:rPr>
                <w:rFonts w:ascii="宋体" w:hAnsi="宋体"/>
                <w:color w:val="auto"/>
                <w:sz w:val="24"/>
                <w:highlight w:val="none"/>
              </w:rPr>
            </w:pPr>
          </w:p>
        </w:tc>
      </w:tr>
    </w:tbl>
    <w:p w14:paraId="18BF4480">
      <w:pPr>
        <w:pStyle w:val="34"/>
        <w:spacing w:line="360" w:lineRule="auto"/>
        <w:ind w:firstLine="6240" w:firstLineChars="2600"/>
        <w:rPr>
          <w:rFonts w:ascii="宋体" w:hAnsi="宋体"/>
          <w:color w:val="auto"/>
          <w:sz w:val="24"/>
          <w:highlight w:val="none"/>
        </w:rPr>
      </w:pPr>
    </w:p>
    <w:p w14:paraId="75A8CB50">
      <w:pPr>
        <w:pStyle w:val="34"/>
        <w:spacing w:line="360" w:lineRule="auto"/>
        <w:ind w:firstLine="482" w:firstLineChars="200"/>
        <w:rPr>
          <w:rFonts w:ascii="宋体" w:hAnsi="宋体"/>
          <w:color w:val="auto"/>
          <w:sz w:val="24"/>
          <w:highlight w:val="none"/>
        </w:rPr>
      </w:pPr>
      <w:r>
        <w:rPr>
          <w:rStyle w:val="32"/>
          <w:rFonts w:hint="eastAsia" w:ascii="宋体" w:hAnsi="宋体" w:cs="Times New Roman"/>
          <w:b/>
          <w:bCs/>
          <w:color w:val="auto"/>
          <w:kern w:val="0"/>
          <w:sz w:val="24"/>
          <w:highlight w:val="none"/>
          <w:lang w:val="en-US" w:eastAsia="zh-CN"/>
        </w:rPr>
        <w:t>注：供应商在竞价系统中每次提交报价时均须上传该《报价一览表》</w:t>
      </w:r>
      <w:r>
        <w:rPr>
          <w:rStyle w:val="32"/>
          <w:rFonts w:hint="eastAsia" w:cs="Times New Roman"/>
          <w:b/>
          <w:bCs/>
          <w:color w:val="auto"/>
          <w:kern w:val="0"/>
          <w:sz w:val="24"/>
          <w:highlight w:val="none"/>
          <w:lang w:val="en-US" w:eastAsia="zh-CN"/>
        </w:rPr>
        <w:t>，</w:t>
      </w:r>
      <w:r>
        <w:rPr>
          <w:rStyle w:val="32"/>
          <w:rFonts w:hint="eastAsia" w:ascii="宋体" w:hAnsi="宋体"/>
          <w:b/>
          <w:bCs/>
          <w:color w:val="auto"/>
          <w:kern w:val="0"/>
          <w:sz w:val="24"/>
          <w:highlight w:val="none"/>
          <w:lang w:val="en-US"/>
        </w:rPr>
        <w:t>供应商在竞价系统中提交的最后一次报价（即</w:t>
      </w:r>
      <w:r>
        <w:rPr>
          <w:rStyle w:val="32"/>
          <w:rFonts w:hint="eastAsia" w:ascii="宋体" w:hAnsi="宋体"/>
          <w:b/>
          <w:bCs/>
          <w:color w:val="auto"/>
          <w:kern w:val="0"/>
          <w:sz w:val="24"/>
          <w:highlight w:val="none"/>
        </w:rPr>
        <w:t>最终有效报价</w:t>
      </w:r>
      <w:r>
        <w:rPr>
          <w:rStyle w:val="32"/>
          <w:rFonts w:hint="eastAsia" w:ascii="宋体" w:hAnsi="宋体"/>
          <w:b/>
          <w:bCs/>
          <w:color w:val="auto"/>
          <w:kern w:val="0"/>
          <w:sz w:val="24"/>
          <w:highlight w:val="none"/>
          <w:lang w:val="en-US"/>
        </w:rPr>
        <w:t>）须与最后一次上传附件价格一致</w:t>
      </w:r>
      <w:r>
        <w:rPr>
          <w:rStyle w:val="32"/>
          <w:rFonts w:hint="eastAsia"/>
          <w:b/>
          <w:bCs/>
          <w:color w:val="auto"/>
          <w:kern w:val="0"/>
          <w:sz w:val="24"/>
          <w:highlight w:val="none"/>
          <w:lang w:val="en-US"/>
        </w:rPr>
        <w:t>。</w:t>
      </w:r>
    </w:p>
    <w:p w14:paraId="01F50ACD">
      <w:pPr>
        <w:pStyle w:val="18"/>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5"/>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DAC10B"/>
    <w:multiLevelType w:val="singleLevel"/>
    <w:tmpl w:val="E3DAC10B"/>
    <w:lvl w:ilvl="0" w:tentative="0">
      <w:start w:val="2"/>
      <w:numFmt w:val="decimal"/>
      <w:suff w:val="nothing"/>
      <w:lvlText w:val="%1、"/>
      <w:lvlJc w:val="left"/>
    </w:lvl>
  </w:abstractNum>
  <w:abstractNum w:abstractNumId="1">
    <w:nsid w:val="276F56EA"/>
    <w:multiLevelType w:val="singleLevel"/>
    <w:tmpl w:val="276F56EA"/>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4E7FA8"/>
    <w:rsid w:val="00DF1010"/>
    <w:rsid w:val="00F36BC9"/>
    <w:rsid w:val="011952D6"/>
    <w:rsid w:val="02BC2FB5"/>
    <w:rsid w:val="03511AD9"/>
    <w:rsid w:val="03ED3BD7"/>
    <w:rsid w:val="046E6DD0"/>
    <w:rsid w:val="047E5946"/>
    <w:rsid w:val="04C91366"/>
    <w:rsid w:val="056025B0"/>
    <w:rsid w:val="05A56AE6"/>
    <w:rsid w:val="05B64224"/>
    <w:rsid w:val="0696261C"/>
    <w:rsid w:val="07702EBF"/>
    <w:rsid w:val="08293E73"/>
    <w:rsid w:val="09A06EBC"/>
    <w:rsid w:val="0AF75143"/>
    <w:rsid w:val="0B043CFB"/>
    <w:rsid w:val="0CA2647A"/>
    <w:rsid w:val="0D2167C4"/>
    <w:rsid w:val="0D2D3085"/>
    <w:rsid w:val="0DAA7832"/>
    <w:rsid w:val="0DD979BE"/>
    <w:rsid w:val="0FBD7DE5"/>
    <w:rsid w:val="10362DC0"/>
    <w:rsid w:val="10E42CCD"/>
    <w:rsid w:val="11790FDD"/>
    <w:rsid w:val="11AD4ADB"/>
    <w:rsid w:val="126445BB"/>
    <w:rsid w:val="13B96D83"/>
    <w:rsid w:val="14DD66A2"/>
    <w:rsid w:val="14EB47C0"/>
    <w:rsid w:val="15512530"/>
    <w:rsid w:val="155B6F0B"/>
    <w:rsid w:val="164556E1"/>
    <w:rsid w:val="16810234"/>
    <w:rsid w:val="17254BB9"/>
    <w:rsid w:val="175D4ED0"/>
    <w:rsid w:val="192817FA"/>
    <w:rsid w:val="199476C8"/>
    <w:rsid w:val="1AA3690C"/>
    <w:rsid w:val="1AC71843"/>
    <w:rsid w:val="1AD364FF"/>
    <w:rsid w:val="1ADE3486"/>
    <w:rsid w:val="1B08700D"/>
    <w:rsid w:val="1B2177CE"/>
    <w:rsid w:val="1B261D69"/>
    <w:rsid w:val="1B34092A"/>
    <w:rsid w:val="1BCC1D0F"/>
    <w:rsid w:val="1BF43CB2"/>
    <w:rsid w:val="1C7D1E5D"/>
    <w:rsid w:val="1D4F1060"/>
    <w:rsid w:val="1DAA6E61"/>
    <w:rsid w:val="1E0F3C2B"/>
    <w:rsid w:val="1E2C09AB"/>
    <w:rsid w:val="1E897F61"/>
    <w:rsid w:val="1F1C42EA"/>
    <w:rsid w:val="1F686EFF"/>
    <w:rsid w:val="1FB7612A"/>
    <w:rsid w:val="213B2764"/>
    <w:rsid w:val="21657A51"/>
    <w:rsid w:val="21837F15"/>
    <w:rsid w:val="234B1754"/>
    <w:rsid w:val="23F4427C"/>
    <w:rsid w:val="25333A88"/>
    <w:rsid w:val="25776FB2"/>
    <w:rsid w:val="26B047DC"/>
    <w:rsid w:val="26BD4622"/>
    <w:rsid w:val="26C54B2C"/>
    <w:rsid w:val="27BC5F2F"/>
    <w:rsid w:val="27C42B43"/>
    <w:rsid w:val="286877EA"/>
    <w:rsid w:val="28C13F2B"/>
    <w:rsid w:val="29802F8C"/>
    <w:rsid w:val="2A604980"/>
    <w:rsid w:val="2A727AC6"/>
    <w:rsid w:val="2BCE7FDF"/>
    <w:rsid w:val="2CC80594"/>
    <w:rsid w:val="2DDE2D69"/>
    <w:rsid w:val="2E086B3F"/>
    <w:rsid w:val="2ECC1930"/>
    <w:rsid w:val="2F152D7B"/>
    <w:rsid w:val="2F4F4B8D"/>
    <w:rsid w:val="3011493E"/>
    <w:rsid w:val="312D39F9"/>
    <w:rsid w:val="31B67ACD"/>
    <w:rsid w:val="334D7ECB"/>
    <w:rsid w:val="336F02F9"/>
    <w:rsid w:val="33F45566"/>
    <w:rsid w:val="3503072C"/>
    <w:rsid w:val="356F257B"/>
    <w:rsid w:val="35786F8C"/>
    <w:rsid w:val="35E30AE8"/>
    <w:rsid w:val="36F5483C"/>
    <w:rsid w:val="389425B0"/>
    <w:rsid w:val="3A9D764F"/>
    <w:rsid w:val="3C65673D"/>
    <w:rsid w:val="3D035E9B"/>
    <w:rsid w:val="3D50551B"/>
    <w:rsid w:val="3D6C7658"/>
    <w:rsid w:val="3DC2628F"/>
    <w:rsid w:val="3DD60AE2"/>
    <w:rsid w:val="3E5C0069"/>
    <w:rsid w:val="3E7A2DAA"/>
    <w:rsid w:val="3E8B1175"/>
    <w:rsid w:val="3F0833B0"/>
    <w:rsid w:val="3FB97B2C"/>
    <w:rsid w:val="40181D19"/>
    <w:rsid w:val="40BD676E"/>
    <w:rsid w:val="410C362B"/>
    <w:rsid w:val="417E75E8"/>
    <w:rsid w:val="41910115"/>
    <w:rsid w:val="41941551"/>
    <w:rsid w:val="41D028AB"/>
    <w:rsid w:val="41D908F9"/>
    <w:rsid w:val="438B3EDE"/>
    <w:rsid w:val="438E3D58"/>
    <w:rsid w:val="44F31851"/>
    <w:rsid w:val="45AA573E"/>
    <w:rsid w:val="45B275F5"/>
    <w:rsid w:val="46BC33FE"/>
    <w:rsid w:val="46EE7477"/>
    <w:rsid w:val="47BC0C07"/>
    <w:rsid w:val="489259CA"/>
    <w:rsid w:val="498B3956"/>
    <w:rsid w:val="4BC53306"/>
    <w:rsid w:val="4C15710C"/>
    <w:rsid w:val="4C2E5FB6"/>
    <w:rsid w:val="4C63431C"/>
    <w:rsid w:val="4C9444D5"/>
    <w:rsid w:val="4CD3301F"/>
    <w:rsid w:val="4CE2174D"/>
    <w:rsid w:val="4D505935"/>
    <w:rsid w:val="4E141911"/>
    <w:rsid w:val="4E370E84"/>
    <w:rsid w:val="4EBB778D"/>
    <w:rsid w:val="4F7C19ED"/>
    <w:rsid w:val="4FB142EA"/>
    <w:rsid w:val="506863A4"/>
    <w:rsid w:val="50F55D99"/>
    <w:rsid w:val="513814F5"/>
    <w:rsid w:val="51497716"/>
    <w:rsid w:val="515B027E"/>
    <w:rsid w:val="520457CB"/>
    <w:rsid w:val="522C2C59"/>
    <w:rsid w:val="539774E2"/>
    <w:rsid w:val="53AD329E"/>
    <w:rsid w:val="541A03F5"/>
    <w:rsid w:val="54C5216A"/>
    <w:rsid w:val="54D577A2"/>
    <w:rsid w:val="54DC110F"/>
    <w:rsid w:val="55357439"/>
    <w:rsid w:val="572E3B80"/>
    <w:rsid w:val="57315742"/>
    <w:rsid w:val="577E64AD"/>
    <w:rsid w:val="589A572D"/>
    <w:rsid w:val="589B7196"/>
    <w:rsid w:val="58C92DB8"/>
    <w:rsid w:val="5A2C4216"/>
    <w:rsid w:val="5A3433AD"/>
    <w:rsid w:val="5A5534F6"/>
    <w:rsid w:val="5B761B8D"/>
    <w:rsid w:val="5BC000BF"/>
    <w:rsid w:val="5C2B7F8E"/>
    <w:rsid w:val="5D01514B"/>
    <w:rsid w:val="5DBA0782"/>
    <w:rsid w:val="5F2D396D"/>
    <w:rsid w:val="60D04179"/>
    <w:rsid w:val="60E47381"/>
    <w:rsid w:val="61C7729B"/>
    <w:rsid w:val="62641034"/>
    <w:rsid w:val="6374691F"/>
    <w:rsid w:val="63BA7B71"/>
    <w:rsid w:val="63BC0257"/>
    <w:rsid w:val="643B2EFE"/>
    <w:rsid w:val="644665A5"/>
    <w:rsid w:val="65005919"/>
    <w:rsid w:val="66423814"/>
    <w:rsid w:val="665A019F"/>
    <w:rsid w:val="6672068F"/>
    <w:rsid w:val="670C6B88"/>
    <w:rsid w:val="67BF44A6"/>
    <w:rsid w:val="689F61CC"/>
    <w:rsid w:val="68AC5DD9"/>
    <w:rsid w:val="68C926A3"/>
    <w:rsid w:val="692857E0"/>
    <w:rsid w:val="69935D1A"/>
    <w:rsid w:val="69D63F27"/>
    <w:rsid w:val="69E70454"/>
    <w:rsid w:val="6A6C5C24"/>
    <w:rsid w:val="6A832AFB"/>
    <w:rsid w:val="6B5E6742"/>
    <w:rsid w:val="6CD40DBF"/>
    <w:rsid w:val="6D0D24E0"/>
    <w:rsid w:val="6DA050EC"/>
    <w:rsid w:val="6DFD21E5"/>
    <w:rsid w:val="6E0440FB"/>
    <w:rsid w:val="6FC34F9B"/>
    <w:rsid w:val="721D44A4"/>
    <w:rsid w:val="724A1DFC"/>
    <w:rsid w:val="72845AC6"/>
    <w:rsid w:val="72DF0959"/>
    <w:rsid w:val="72F8490A"/>
    <w:rsid w:val="73D239B1"/>
    <w:rsid w:val="73ED08CD"/>
    <w:rsid w:val="74120755"/>
    <w:rsid w:val="745C662B"/>
    <w:rsid w:val="74B308B5"/>
    <w:rsid w:val="74C3535E"/>
    <w:rsid w:val="75247769"/>
    <w:rsid w:val="753F0E71"/>
    <w:rsid w:val="75716A92"/>
    <w:rsid w:val="758D2516"/>
    <w:rsid w:val="7599235F"/>
    <w:rsid w:val="759A04FF"/>
    <w:rsid w:val="765E6F67"/>
    <w:rsid w:val="7858402F"/>
    <w:rsid w:val="78D50787"/>
    <w:rsid w:val="79FE2EB5"/>
    <w:rsid w:val="7B8F04A8"/>
    <w:rsid w:val="7C242B86"/>
    <w:rsid w:val="7C95557C"/>
    <w:rsid w:val="7D3F0A9F"/>
    <w:rsid w:val="7DC41D70"/>
    <w:rsid w:val="7F034C8E"/>
    <w:rsid w:val="7FA01934"/>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customStyle="1" w:styleId="2">
    <w:name w:val="样式 10 磅"/>
    <w:qFormat/>
    <w:uiPriority w:val="0"/>
    <w:pPr>
      <w:widowControl w:val="0"/>
      <w:jc w:val="both"/>
    </w:pPr>
    <w:rPr>
      <w:rFonts w:ascii="Calibri" w:hAnsi="Calibri" w:eastAsia="宋体" w:cs="Times New Roman"/>
      <w:kern w:val="2"/>
      <w:sz w:val="21"/>
      <w:szCs w:val="24"/>
      <w:lang w:val="en-US" w:eastAsia="zh-CN" w:bidi="ar-SA"/>
    </w:rPr>
  </w:style>
  <w:style w:type="paragraph" w:styleId="6">
    <w:name w:val="Normal Indent"/>
    <w:basedOn w:val="1"/>
    <w:next w:val="7"/>
    <w:autoRedefine/>
    <w:qFormat/>
    <w:uiPriority w:val="0"/>
    <w:pPr>
      <w:ind w:firstLine="420"/>
    </w:pPr>
    <w:rPr>
      <w:szCs w:val="20"/>
    </w:rPr>
  </w:style>
  <w:style w:type="paragraph" w:styleId="7">
    <w:name w:val="header"/>
    <w:basedOn w:val="1"/>
    <w:link w:val="37"/>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text"/>
    <w:basedOn w:val="1"/>
    <w:autoRedefine/>
    <w:qFormat/>
    <w:uiPriority w:val="0"/>
    <w:pPr>
      <w:jc w:val="left"/>
    </w:pPr>
  </w:style>
  <w:style w:type="paragraph" w:styleId="9">
    <w:name w:val="Body Text"/>
    <w:basedOn w:val="1"/>
    <w:next w:val="10"/>
    <w:autoRedefine/>
    <w:qFormat/>
    <w:uiPriority w:val="0"/>
    <w:pPr>
      <w:spacing w:after="120"/>
    </w:pPr>
  </w:style>
  <w:style w:type="paragraph" w:styleId="10">
    <w:name w:val="toc 2"/>
    <w:basedOn w:val="1"/>
    <w:next w:val="1"/>
    <w:qFormat/>
    <w:uiPriority w:val="0"/>
    <w:pPr>
      <w:ind w:left="420" w:leftChars="200"/>
    </w:pPr>
    <w:rPr>
      <w:rFonts w:ascii="Times New Roman" w:hAnsi="Times New Roman" w:eastAsia="宋体" w:cs="Times New Roman"/>
    </w:rPr>
  </w:style>
  <w:style w:type="paragraph" w:styleId="11">
    <w:name w:val="Body Text Indent"/>
    <w:basedOn w:val="1"/>
    <w:autoRedefine/>
    <w:qFormat/>
    <w:uiPriority w:val="0"/>
    <w:pPr>
      <w:spacing w:after="120"/>
      <w:ind w:left="420" w:leftChars="200"/>
    </w:pPr>
  </w:style>
  <w:style w:type="paragraph" w:styleId="12">
    <w:name w:val="Plain Text"/>
    <w:basedOn w:val="1"/>
    <w:autoRedefine/>
    <w:qFormat/>
    <w:uiPriority w:val="0"/>
    <w:rPr>
      <w:rFonts w:ascii="宋体" w:hAnsi="Courier New"/>
      <w:kern w:val="0"/>
      <w:sz w:val="20"/>
    </w:rPr>
  </w:style>
  <w:style w:type="paragraph" w:styleId="13">
    <w:name w:val="Body Text Indent 2"/>
    <w:basedOn w:val="1"/>
    <w:autoRedefine/>
    <w:qFormat/>
    <w:uiPriority w:val="0"/>
    <w:pPr>
      <w:spacing w:line="480" w:lineRule="auto"/>
      <w:ind w:left="420" w:leftChars="200"/>
    </w:pPr>
  </w:style>
  <w:style w:type="paragraph" w:styleId="14">
    <w:name w:val="Balloon Text"/>
    <w:basedOn w:val="1"/>
    <w:link w:val="38"/>
    <w:autoRedefine/>
    <w:qFormat/>
    <w:uiPriority w:val="0"/>
    <w:rPr>
      <w:sz w:val="18"/>
      <w:szCs w:val="18"/>
    </w:rPr>
  </w:style>
  <w:style w:type="paragraph" w:styleId="15">
    <w:name w:val="footer"/>
    <w:basedOn w:val="1"/>
    <w:next w:val="1"/>
    <w:autoRedefine/>
    <w:qFormat/>
    <w:uiPriority w:val="99"/>
    <w:pPr>
      <w:tabs>
        <w:tab w:val="center" w:pos="4153"/>
        <w:tab w:val="right" w:pos="8306"/>
      </w:tabs>
      <w:snapToGrid w:val="0"/>
      <w:jc w:val="left"/>
    </w:pPr>
    <w:rPr>
      <w:sz w:val="18"/>
      <w:szCs w:val="18"/>
    </w:rPr>
  </w:style>
  <w:style w:type="paragraph" w:styleId="16">
    <w:name w:val="envelope return"/>
    <w:basedOn w:val="1"/>
    <w:autoRedefine/>
    <w:qFormat/>
    <w:uiPriority w:val="0"/>
    <w:pPr>
      <w:snapToGrid w:val="0"/>
    </w:pPr>
    <w:rPr>
      <w:rFonts w:ascii="Arial" w:hAnsi="Arial"/>
    </w:rPr>
  </w:style>
  <w:style w:type="paragraph" w:styleId="17">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9"/>
    <w:autoRedefine/>
    <w:qFormat/>
    <w:uiPriority w:val="0"/>
    <w:pPr>
      <w:ind w:firstLine="420" w:firstLineChars="100"/>
    </w:pPr>
    <w:rPr>
      <w:rFonts w:ascii="Times New Roman" w:hAnsi="Times New Roman"/>
      <w:szCs w:val="20"/>
    </w:rPr>
  </w:style>
  <w:style w:type="paragraph" w:styleId="21">
    <w:name w:val="Body Text First Indent 2"/>
    <w:basedOn w:val="1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Hyperlink"/>
    <w:basedOn w:val="24"/>
    <w:autoRedefine/>
    <w:qFormat/>
    <w:uiPriority w:val="0"/>
    <w:rPr>
      <w:color w:val="0000FF"/>
      <w:u w:val="single"/>
    </w:rPr>
  </w:style>
  <w:style w:type="character" w:styleId="27">
    <w:name w:val="annotation reference"/>
    <w:basedOn w:val="24"/>
    <w:autoRedefine/>
    <w:qFormat/>
    <w:uiPriority w:val="0"/>
    <w:rPr>
      <w:sz w:val="21"/>
      <w:szCs w:val="21"/>
    </w:rPr>
  </w:style>
  <w:style w:type="paragraph" w:customStyle="1" w:styleId="28">
    <w:name w:val="Body Text First Indent 21"/>
    <w:basedOn w:val="29"/>
    <w:qFormat/>
    <w:uiPriority w:val="0"/>
    <w:pPr>
      <w:spacing w:line="340" w:lineRule="exact"/>
      <w:ind w:right="-139" w:hanging="26" w:hangingChars="26"/>
    </w:pPr>
    <w:rPr>
      <w:rFonts w:ascii="华文中宋" w:hAnsi="华文中宋" w:eastAsia="华文中宋"/>
      <w:sz w:val="24"/>
      <w:szCs w:val="20"/>
    </w:rPr>
  </w:style>
  <w:style w:type="paragraph" w:customStyle="1" w:styleId="29">
    <w:name w:val="Body Text Indent1"/>
    <w:basedOn w:val="1"/>
    <w:qFormat/>
    <w:uiPriority w:val="0"/>
    <w:pPr>
      <w:ind w:left="420" w:leftChars="200"/>
    </w:pPr>
  </w:style>
  <w:style w:type="paragraph" w:customStyle="1" w:styleId="30">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31">
    <w:name w:val="样式3"/>
    <w:basedOn w:val="12"/>
    <w:autoRedefine/>
    <w:qFormat/>
    <w:uiPriority w:val="0"/>
    <w:pPr>
      <w:spacing w:line="0" w:lineRule="atLeast"/>
      <w:outlineLvl w:val="0"/>
    </w:pPr>
    <w:rPr>
      <w:sz w:val="28"/>
    </w:rPr>
  </w:style>
  <w:style w:type="character" w:customStyle="1" w:styleId="32">
    <w:name w:val="NormalCharacter"/>
    <w:autoRedefine/>
    <w:semiHidden/>
    <w:qFormat/>
    <w:uiPriority w:val="0"/>
    <w:rPr>
      <w:kern w:val="2"/>
      <w:sz w:val="21"/>
      <w:szCs w:val="24"/>
      <w:lang w:val="en-US" w:eastAsia="zh-CN" w:bidi="ar-SA"/>
    </w:rPr>
  </w:style>
  <w:style w:type="paragraph" w:customStyle="1" w:styleId="33">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4">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
    <w:name w:val="apple-converted-space"/>
    <w:autoRedefine/>
    <w:qFormat/>
    <w:uiPriority w:val="0"/>
    <w:rPr>
      <w:rFonts w:ascii="Times New Roman" w:hAnsi="Times New Roman" w:eastAsia="宋体" w:cs="Times New Roman"/>
    </w:rPr>
  </w:style>
  <w:style w:type="paragraph" w:customStyle="1" w:styleId="36">
    <w:name w:val="null3"/>
    <w:autoRedefine/>
    <w:qFormat/>
    <w:uiPriority w:val="0"/>
    <w:rPr>
      <w:rFonts w:hint="eastAsia" w:ascii="Calibri" w:hAnsi="Calibri" w:eastAsia="宋体" w:cs="Times New Roman"/>
      <w:lang w:val="en-US" w:eastAsia="zh-CN" w:bidi="ar-SA"/>
    </w:rPr>
  </w:style>
  <w:style w:type="character" w:customStyle="1" w:styleId="37">
    <w:name w:val="页眉 Char"/>
    <w:basedOn w:val="24"/>
    <w:link w:val="7"/>
    <w:autoRedefine/>
    <w:qFormat/>
    <w:uiPriority w:val="0"/>
    <w:rPr>
      <w:rFonts w:ascii="Calibri" w:hAnsi="Calibri"/>
      <w:kern w:val="2"/>
      <w:sz w:val="18"/>
      <w:szCs w:val="18"/>
    </w:rPr>
  </w:style>
  <w:style w:type="character" w:customStyle="1" w:styleId="38">
    <w:name w:val="批注框文本 Char"/>
    <w:basedOn w:val="24"/>
    <w:link w:val="14"/>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11709</Words>
  <Characters>12381</Characters>
  <Lines>186</Lines>
  <Paragraphs>52</Paragraphs>
  <TotalTime>3</TotalTime>
  <ScaleCrop>false</ScaleCrop>
  <LinksUpToDate>false</LinksUpToDate>
  <CharactersWithSpaces>12834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2025-08-11T08:40:58Z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